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D1EE" w14:textId="77777777" w:rsidR="0049469E" w:rsidRDefault="00000000">
      <w:pPr>
        <w:spacing w:line="480" w:lineRule="exact"/>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全国体育运动学校联合会</w:t>
      </w:r>
    </w:p>
    <w:p w14:paraId="4B8A6C81" w14:textId="77777777" w:rsidR="0049469E" w:rsidRDefault="00000000">
      <w:pPr>
        <w:spacing w:line="480" w:lineRule="exact"/>
        <w:jc w:val="center"/>
        <w:rPr>
          <w:rFonts w:asciiTheme="majorEastAsia" w:eastAsiaTheme="majorEastAsia" w:hAnsiTheme="majorEastAsia"/>
          <w:b/>
          <w:bCs/>
          <w:sz w:val="44"/>
          <w:szCs w:val="44"/>
        </w:rPr>
      </w:pPr>
      <w:proofErr w:type="gramStart"/>
      <w:r>
        <w:rPr>
          <w:rFonts w:asciiTheme="majorEastAsia" w:eastAsiaTheme="majorEastAsia" w:hAnsiTheme="majorEastAsia" w:hint="eastAsia"/>
          <w:b/>
          <w:bCs/>
          <w:sz w:val="44"/>
          <w:szCs w:val="44"/>
        </w:rPr>
        <w:t>匹克球裁判员</w:t>
      </w:r>
      <w:proofErr w:type="gramEnd"/>
      <w:r>
        <w:rPr>
          <w:rFonts w:asciiTheme="majorEastAsia" w:eastAsiaTheme="majorEastAsia" w:hAnsiTheme="majorEastAsia" w:hint="eastAsia"/>
          <w:b/>
          <w:bCs/>
          <w:sz w:val="44"/>
          <w:szCs w:val="44"/>
        </w:rPr>
        <w:t>管理办法（试行）</w:t>
      </w:r>
    </w:p>
    <w:p w14:paraId="187170ED" w14:textId="77777777" w:rsidR="0049469E" w:rsidRDefault="0049469E">
      <w:pPr>
        <w:spacing w:after="4" w:line="250" w:lineRule="auto"/>
        <w:ind w:left="720" w:right="52" w:firstLineChars="2897" w:firstLine="6084"/>
      </w:pPr>
    </w:p>
    <w:p w14:paraId="5305E254" w14:textId="77777777" w:rsidR="0049469E" w:rsidRDefault="0049469E">
      <w:pPr>
        <w:spacing w:after="4" w:line="250" w:lineRule="auto"/>
        <w:ind w:left="720" w:right="52" w:firstLineChars="2897" w:firstLine="6084"/>
      </w:pPr>
    </w:p>
    <w:p w14:paraId="23C88D21" w14:textId="77777777" w:rsidR="0049469E" w:rsidRPr="00261C36" w:rsidRDefault="00000000">
      <w:pPr>
        <w:pStyle w:val="ab"/>
        <w:numPr>
          <w:ilvl w:val="0"/>
          <w:numId w:val="1"/>
        </w:numPr>
        <w:spacing w:after="4" w:line="250" w:lineRule="auto"/>
        <w:ind w:right="52" w:firstLineChars="0"/>
        <w:jc w:val="left"/>
        <w:rPr>
          <w:rFonts w:ascii="仿宋" w:eastAsia="仿宋" w:hAnsi="仿宋" w:cs="仿宋_GB2312"/>
          <w:b/>
          <w:bCs/>
          <w:sz w:val="32"/>
          <w:szCs w:val="32"/>
        </w:rPr>
      </w:pPr>
      <w:r w:rsidRPr="00261C36">
        <w:rPr>
          <w:rFonts w:ascii="仿宋" w:eastAsia="仿宋" w:hAnsi="仿宋" w:cs="仿宋_GB2312" w:hint="eastAsia"/>
          <w:b/>
          <w:bCs/>
          <w:sz w:val="32"/>
          <w:szCs w:val="32"/>
        </w:rPr>
        <w:t>总 则</w:t>
      </w:r>
    </w:p>
    <w:p w14:paraId="5FDAF1F2"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第一条 为保证</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公平、公正，有序、高效率地进行，规范全国体育运动学校联合会（以下简称全体联）</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裁判员培训、考核、注册、选派、处罚等监督管理工作，根据国家体育总局《体育竞赛裁判员管理办法》（国家体育总局第21号令），制定本办法。</w:t>
      </w:r>
    </w:p>
    <w:p w14:paraId="6D80AB46"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第二条 全体</w:t>
      </w:r>
      <w:proofErr w:type="gramStart"/>
      <w:r w:rsidRPr="00261C36">
        <w:rPr>
          <w:rFonts w:ascii="仿宋" w:eastAsia="仿宋" w:hAnsi="仿宋" w:cs="仿宋_GB2312" w:hint="eastAsia"/>
          <w:sz w:val="32"/>
          <w:szCs w:val="32"/>
        </w:rPr>
        <w:t>联匹克球</w:t>
      </w:r>
      <w:proofErr w:type="gramEnd"/>
      <w:r w:rsidRPr="00261C36">
        <w:rPr>
          <w:rFonts w:ascii="仿宋" w:eastAsia="仿宋" w:hAnsi="仿宋" w:cs="仿宋_GB2312" w:hint="eastAsia"/>
          <w:sz w:val="32"/>
          <w:szCs w:val="32"/>
        </w:rPr>
        <w:t>竞赛裁判员（以下简称“裁判员”）实行统一注册、分级管理。</w:t>
      </w:r>
    </w:p>
    <w:p w14:paraId="7C379EE0"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第三条 全体</w:t>
      </w:r>
      <w:proofErr w:type="gramStart"/>
      <w:r w:rsidRPr="00261C36">
        <w:rPr>
          <w:rFonts w:ascii="仿宋" w:eastAsia="仿宋" w:hAnsi="仿宋" w:cs="仿宋_GB2312" w:hint="eastAsia"/>
          <w:sz w:val="32"/>
          <w:szCs w:val="32"/>
        </w:rPr>
        <w:t>联匹克球</w:t>
      </w:r>
      <w:proofErr w:type="gramEnd"/>
      <w:r w:rsidRPr="00261C36">
        <w:rPr>
          <w:rFonts w:ascii="仿宋" w:eastAsia="仿宋" w:hAnsi="仿宋" w:cs="仿宋_GB2312" w:hint="eastAsia"/>
          <w:sz w:val="32"/>
          <w:szCs w:val="32"/>
        </w:rPr>
        <w:t>裁判员的技术等级分为高级、中级、初级。</w:t>
      </w:r>
    </w:p>
    <w:p w14:paraId="7CD700B7"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第四条 全体联负责</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裁判员的培训、考核、等级认证、注册、选派及处罚等监督管理工作。</w:t>
      </w:r>
    </w:p>
    <w:p w14:paraId="5F436ABC" w14:textId="77777777" w:rsidR="0049469E" w:rsidRDefault="0049469E">
      <w:pPr>
        <w:spacing w:line="276" w:lineRule="auto"/>
        <w:ind w:firstLineChars="200" w:firstLine="640"/>
        <w:rPr>
          <w:rFonts w:ascii="仿宋_GB2312" w:eastAsia="仿宋_GB2312" w:hAnsi="仿宋_GB2312" w:cs="仿宋_GB2312"/>
          <w:sz w:val="32"/>
          <w:szCs w:val="32"/>
        </w:rPr>
      </w:pPr>
    </w:p>
    <w:p w14:paraId="38628AAF" w14:textId="77777777" w:rsidR="0049469E" w:rsidRPr="00261C36" w:rsidRDefault="00000000">
      <w:pPr>
        <w:spacing w:line="276" w:lineRule="auto"/>
        <w:jc w:val="center"/>
        <w:rPr>
          <w:rFonts w:ascii="仿宋" w:eastAsia="仿宋" w:hAnsi="仿宋" w:cs="仿宋_GB2312"/>
          <w:b/>
          <w:bCs/>
          <w:sz w:val="32"/>
          <w:szCs w:val="32"/>
        </w:rPr>
      </w:pPr>
      <w:r w:rsidRPr="00261C36">
        <w:rPr>
          <w:rFonts w:ascii="仿宋" w:eastAsia="仿宋" w:hAnsi="仿宋" w:cs="仿宋_GB2312" w:hint="eastAsia"/>
          <w:b/>
          <w:bCs/>
          <w:sz w:val="32"/>
          <w:szCs w:val="32"/>
        </w:rPr>
        <w:t>第二章 裁判员注册条件、考核及等级认证</w:t>
      </w:r>
    </w:p>
    <w:p w14:paraId="376F33FE" w14:textId="77777777" w:rsidR="0049469E" w:rsidRPr="00261C36" w:rsidRDefault="00000000">
      <w:pPr>
        <w:spacing w:line="276" w:lineRule="auto"/>
        <w:ind w:firstLineChars="201" w:firstLine="643"/>
        <w:rPr>
          <w:rFonts w:ascii="仿宋" w:eastAsia="仿宋" w:hAnsi="仿宋" w:cs="仿宋_GB2312"/>
          <w:sz w:val="32"/>
          <w:szCs w:val="32"/>
        </w:rPr>
      </w:pPr>
      <w:r w:rsidRPr="00261C36">
        <w:rPr>
          <w:rFonts w:ascii="仿宋" w:eastAsia="仿宋" w:hAnsi="仿宋" w:cs="仿宋_GB2312" w:hint="eastAsia"/>
          <w:sz w:val="32"/>
          <w:szCs w:val="32"/>
        </w:rPr>
        <w:t>第五条 初级裁判员注册</w:t>
      </w:r>
      <w:r w:rsidRPr="00261C36">
        <w:rPr>
          <w:rFonts w:ascii="仿宋" w:eastAsia="仿宋" w:hAnsi="仿宋" w:cs="仿宋_GB2312" w:hint="eastAsia"/>
          <w:sz w:val="32"/>
          <w:szCs w:val="32"/>
          <w:lang w:eastAsia="zh-Hans"/>
        </w:rPr>
        <w:t xml:space="preserve">条件 </w:t>
      </w:r>
    </w:p>
    <w:p w14:paraId="402A57A3" w14:textId="77777777" w:rsidR="0049469E" w:rsidRPr="00261C36" w:rsidRDefault="00000000">
      <w:pPr>
        <w:pStyle w:val="ab"/>
        <w:numPr>
          <w:ilvl w:val="0"/>
          <w:numId w:val="2"/>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年满18周岁的中国公民或居民，具备高中以上学历；</w:t>
      </w:r>
    </w:p>
    <w:p w14:paraId="3370E32E" w14:textId="77777777" w:rsidR="0049469E" w:rsidRPr="00261C36" w:rsidRDefault="00000000">
      <w:pPr>
        <w:pStyle w:val="ab"/>
        <w:numPr>
          <w:ilvl w:val="0"/>
          <w:numId w:val="2"/>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了解</w:t>
      </w:r>
      <w:proofErr w:type="gramStart"/>
      <w:r w:rsidRPr="00261C36">
        <w:rPr>
          <w:rFonts w:ascii="仿宋" w:eastAsia="仿宋" w:hAnsi="仿宋" w:cs="仿宋_GB2312" w:hint="eastAsia"/>
          <w:sz w:val="32"/>
          <w:szCs w:val="32"/>
        </w:rPr>
        <w:t>匹克球运动</w:t>
      </w:r>
      <w:proofErr w:type="gramEnd"/>
      <w:r w:rsidRPr="00261C36">
        <w:rPr>
          <w:rFonts w:ascii="仿宋" w:eastAsia="仿宋" w:hAnsi="仿宋" w:cs="仿宋_GB2312" w:hint="eastAsia"/>
          <w:sz w:val="32"/>
          <w:szCs w:val="32"/>
        </w:rPr>
        <w:t>、热爱</w:t>
      </w:r>
      <w:proofErr w:type="gramStart"/>
      <w:r w:rsidRPr="00261C36">
        <w:rPr>
          <w:rFonts w:ascii="仿宋" w:eastAsia="仿宋" w:hAnsi="仿宋" w:cs="仿宋_GB2312" w:hint="eastAsia"/>
          <w:sz w:val="32"/>
          <w:szCs w:val="32"/>
        </w:rPr>
        <w:t>匹克球运动</w:t>
      </w:r>
      <w:proofErr w:type="gramEnd"/>
      <w:r w:rsidRPr="00261C36">
        <w:rPr>
          <w:rFonts w:ascii="仿宋" w:eastAsia="仿宋" w:hAnsi="仿宋" w:cs="仿宋_GB2312" w:hint="eastAsia"/>
          <w:sz w:val="32"/>
          <w:szCs w:val="32"/>
        </w:rPr>
        <w:t>，对投身到</w:t>
      </w:r>
      <w:proofErr w:type="gramStart"/>
      <w:r w:rsidRPr="00261C36">
        <w:rPr>
          <w:rFonts w:ascii="仿宋" w:eastAsia="仿宋" w:hAnsi="仿宋" w:cs="仿宋_GB2312" w:hint="eastAsia"/>
          <w:sz w:val="32"/>
          <w:szCs w:val="32"/>
        </w:rPr>
        <w:t>匹克球运动</w:t>
      </w:r>
      <w:proofErr w:type="gramEnd"/>
      <w:r w:rsidRPr="00261C36">
        <w:rPr>
          <w:rFonts w:ascii="仿宋" w:eastAsia="仿宋" w:hAnsi="仿宋" w:cs="仿宋_GB2312" w:hint="eastAsia"/>
          <w:sz w:val="32"/>
          <w:szCs w:val="32"/>
        </w:rPr>
        <w:t>有强烈愿望；</w:t>
      </w:r>
    </w:p>
    <w:p w14:paraId="0CC822D2" w14:textId="77777777" w:rsidR="0049469E" w:rsidRPr="00261C36" w:rsidRDefault="00000000">
      <w:pPr>
        <w:pStyle w:val="ab"/>
        <w:numPr>
          <w:ilvl w:val="0"/>
          <w:numId w:val="2"/>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能够掌握和运用</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规则和裁判法；</w:t>
      </w:r>
    </w:p>
    <w:p w14:paraId="74EC9439" w14:textId="77777777" w:rsidR="0049469E" w:rsidRPr="00261C36" w:rsidRDefault="00000000">
      <w:pPr>
        <w:pStyle w:val="ab"/>
        <w:numPr>
          <w:ilvl w:val="0"/>
          <w:numId w:val="2"/>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能够胜任地（市）级、县（区）</w:t>
      </w:r>
      <w:proofErr w:type="gramStart"/>
      <w:r w:rsidRPr="00261C36">
        <w:rPr>
          <w:rFonts w:ascii="仿宋" w:eastAsia="仿宋" w:hAnsi="仿宋" w:cs="仿宋_GB2312" w:hint="eastAsia"/>
          <w:sz w:val="32"/>
          <w:szCs w:val="32"/>
        </w:rPr>
        <w:t>级匹克球</w:t>
      </w:r>
      <w:proofErr w:type="gramEnd"/>
      <w:r w:rsidRPr="00261C36">
        <w:rPr>
          <w:rFonts w:ascii="仿宋" w:eastAsia="仿宋" w:hAnsi="仿宋" w:cs="仿宋_GB2312" w:hint="eastAsia"/>
          <w:sz w:val="32"/>
          <w:szCs w:val="32"/>
        </w:rPr>
        <w:t>比赛裁判工作；</w:t>
      </w:r>
    </w:p>
    <w:p w14:paraId="32FF48EB" w14:textId="77777777" w:rsidR="0049469E" w:rsidRPr="00261C36" w:rsidRDefault="00000000">
      <w:pPr>
        <w:pStyle w:val="ab"/>
        <w:numPr>
          <w:ilvl w:val="0"/>
          <w:numId w:val="2"/>
        </w:numPr>
        <w:spacing w:line="440" w:lineRule="exact"/>
        <w:ind w:left="1418" w:firstLineChars="0" w:hanging="862"/>
        <w:rPr>
          <w:rFonts w:ascii="仿宋" w:eastAsia="仿宋" w:hAnsi="仿宋" w:cs="仿宋_GB2312"/>
          <w:sz w:val="32"/>
          <w:szCs w:val="32"/>
        </w:rPr>
      </w:pPr>
      <w:proofErr w:type="gramStart"/>
      <w:r w:rsidRPr="00261C36">
        <w:rPr>
          <w:rFonts w:ascii="仿宋" w:eastAsia="仿宋" w:hAnsi="仿宋" w:cs="仿宋_GB2312" w:hint="eastAsia"/>
          <w:sz w:val="32"/>
          <w:szCs w:val="32"/>
        </w:rPr>
        <w:t>经匹克球</w:t>
      </w:r>
      <w:proofErr w:type="gramEnd"/>
      <w:r w:rsidRPr="00261C36">
        <w:rPr>
          <w:rFonts w:ascii="仿宋" w:eastAsia="仿宋" w:hAnsi="仿宋" w:cs="仿宋_GB2312" w:hint="eastAsia"/>
          <w:sz w:val="32"/>
          <w:szCs w:val="32"/>
        </w:rPr>
        <w:t>初级裁判员专业课程培训并考核通过者。</w:t>
      </w:r>
    </w:p>
    <w:p w14:paraId="069D1CBE" w14:textId="77777777" w:rsidR="0049469E" w:rsidRPr="00261C36" w:rsidRDefault="00000000">
      <w:pPr>
        <w:spacing w:line="276" w:lineRule="auto"/>
        <w:ind w:firstLineChars="201" w:firstLine="643"/>
        <w:rPr>
          <w:rFonts w:ascii="仿宋" w:eastAsia="仿宋" w:hAnsi="仿宋" w:cs="仿宋_GB2312"/>
          <w:sz w:val="32"/>
          <w:szCs w:val="32"/>
        </w:rPr>
      </w:pPr>
      <w:r w:rsidRPr="00261C36">
        <w:rPr>
          <w:rFonts w:ascii="仿宋" w:eastAsia="仿宋" w:hAnsi="仿宋" w:cs="仿宋_GB2312" w:hint="eastAsia"/>
          <w:sz w:val="32"/>
          <w:szCs w:val="32"/>
        </w:rPr>
        <w:t>第六条 中级裁判员注册</w:t>
      </w:r>
      <w:r w:rsidRPr="00261C36">
        <w:rPr>
          <w:rFonts w:ascii="仿宋" w:eastAsia="仿宋" w:hAnsi="仿宋" w:cs="仿宋_GB2312" w:hint="eastAsia"/>
          <w:sz w:val="32"/>
          <w:szCs w:val="32"/>
          <w:lang w:eastAsia="zh-Hans"/>
        </w:rPr>
        <w:t>条件</w:t>
      </w:r>
    </w:p>
    <w:p w14:paraId="54644F6F" w14:textId="77777777" w:rsidR="0049469E" w:rsidRPr="00261C36" w:rsidRDefault="00000000">
      <w:pPr>
        <w:pStyle w:val="ab"/>
        <w:numPr>
          <w:ilvl w:val="0"/>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但</w:t>
      </w:r>
      <w:proofErr w:type="gramStart"/>
      <w:r w:rsidRPr="00261C36">
        <w:rPr>
          <w:rFonts w:ascii="仿宋" w:eastAsia="仿宋" w:hAnsi="仿宋" w:cs="仿宋_GB2312" w:hint="eastAsia"/>
          <w:sz w:val="32"/>
          <w:szCs w:val="32"/>
        </w:rPr>
        <w:t>任匹克球</w:t>
      </w:r>
      <w:proofErr w:type="gramEnd"/>
      <w:r w:rsidRPr="00261C36">
        <w:rPr>
          <w:rFonts w:ascii="仿宋" w:eastAsia="仿宋" w:hAnsi="仿宋" w:cs="仿宋_GB2312" w:hint="eastAsia"/>
          <w:sz w:val="32"/>
          <w:szCs w:val="32"/>
        </w:rPr>
        <w:t>初级裁判员满二年；</w:t>
      </w:r>
    </w:p>
    <w:p w14:paraId="274827D2" w14:textId="77777777" w:rsidR="0049469E" w:rsidRPr="00261C36" w:rsidRDefault="00000000">
      <w:pPr>
        <w:pStyle w:val="ab"/>
        <w:numPr>
          <w:ilvl w:val="0"/>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至少有5次执裁地（市）级及以上比赛的执裁经验，或至少2次担任县级</w:t>
      </w:r>
      <w:proofErr w:type="gramStart"/>
      <w:r w:rsidRPr="00261C36">
        <w:rPr>
          <w:rFonts w:ascii="仿宋" w:eastAsia="仿宋" w:hAnsi="仿宋" w:cs="仿宋_GB2312" w:hint="eastAsia"/>
          <w:sz w:val="32"/>
          <w:szCs w:val="32"/>
        </w:rPr>
        <w:t>匹克球比赛</w:t>
      </w:r>
      <w:proofErr w:type="gramEnd"/>
      <w:r w:rsidRPr="00261C36">
        <w:rPr>
          <w:rFonts w:ascii="仿宋" w:eastAsia="仿宋" w:hAnsi="仿宋" w:cs="仿宋_GB2312" w:hint="eastAsia"/>
          <w:sz w:val="32"/>
          <w:szCs w:val="32"/>
        </w:rPr>
        <w:t>副裁判长以上职务；</w:t>
      </w:r>
    </w:p>
    <w:p w14:paraId="162C7C9B" w14:textId="77777777" w:rsidR="0049469E" w:rsidRPr="00261C36" w:rsidRDefault="00000000">
      <w:pPr>
        <w:pStyle w:val="ab"/>
        <w:numPr>
          <w:ilvl w:val="0"/>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对</w:t>
      </w:r>
      <w:proofErr w:type="gramStart"/>
      <w:r w:rsidRPr="00261C36">
        <w:rPr>
          <w:rFonts w:ascii="仿宋" w:eastAsia="仿宋" w:hAnsi="仿宋" w:cs="仿宋_GB2312" w:hint="eastAsia"/>
          <w:sz w:val="32"/>
          <w:szCs w:val="32"/>
        </w:rPr>
        <w:t>匹克球运动</w:t>
      </w:r>
      <w:proofErr w:type="gramEnd"/>
      <w:r w:rsidRPr="00261C36">
        <w:rPr>
          <w:rFonts w:ascii="仿宋" w:eastAsia="仿宋" w:hAnsi="仿宋" w:cs="仿宋_GB2312" w:hint="eastAsia"/>
          <w:sz w:val="32"/>
          <w:szCs w:val="32"/>
        </w:rPr>
        <w:t>有更深刻的理解，知晓常用击球技术和</w:t>
      </w:r>
      <w:r w:rsidRPr="00261C36">
        <w:rPr>
          <w:rFonts w:ascii="仿宋" w:eastAsia="仿宋" w:hAnsi="仿宋" w:cs="仿宋_GB2312" w:hint="eastAsia"/>
          <w:sz w:val="32"/>
          <w:szCs w:val="32"/>
        </w:rPr>
        <w:lastRenderedPageBreak/>
        <w:t>战术；</w:t>
      </w:r>
    </w:p>
    <w:p w14:paraId="43B50D91" w14:textId="77777777" w:rsidR="0049469E" w:rsidRPr="00261C36" w:rsidRDefault="00000000">
      <w:pPr>
        <w:pStyle w:val="ab"/>
        <w:numPr>
          <w:ilvl w:val="0"/>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能够掌握和正确运用</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规则和裁判法，掌握基本编排方法；</w:t>
      </w:r>
    </w:p>
    <w:p w14:paraId="13D6438D" w14:textId="77777777" w:rsidR="0049469E" w:rsidRPr="00261C36" w:rsidRDefault="00000000">
      <w:pPr>
        <w:pStyle w:val="ab"/>
        <w:numPr>
          <w:ilvl w:val="255"/>
          <w:numId w:val="0"/>
        </w:num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（五）</w:t>
      </w:r>
      <w:proofErr w:type="gramStart"/>
      <w:r w:rsidRPr="00261C36">
        <w:rPr>
          <w:rFonts w:ascii="仿宋" w:eastAsia="仿宋" w:hAnsi="仿宋" w:cs="仿宋_GB2312" w:hint="eastAsia"/>
          <w:sz w:val="32"/>
          <w:szCs w:val="32"/>
        </w:rPr>
        <w:t>经匹克球</w:t>
      </w:r>
      <w:proofErr w:type="gramEnd"/>
      <w:r w:rsidRPr="00261C36">
        <w:rPr>
          <w:rFonts w:ascii="仿宋" w:eastAsia="仿宋" w:hAnsi="仿宋" w:cs="仿宋_GB2312" w:hint="eastAsia"/>
          <w:sz w:val="32"/>
          <w:szCs w:val="32"/>
        </w:rPr>
        <w:t>中级</w:t>
      </w:r>
      <w:r w:rsidRPr="00261C36">
        <w:rPr>
          <w:rFonts w:ascii="仿宋" w:eastAsia="仿宋" w:hAnsi="仿宋" w:cs="仿宋_GB2312" w:hint="eastAsia"/>
          <w:sz w:val="32"/>
          <w:szCs w:val="32"/>
          <w:lang w:eastAsia="zh-Hans"/>
        </w:rPr>
        <w:t>裁判员专业课程</w:t>
      </w:r>
      <w:r w:rsidRPr="00261C36">
        <w:rPr>
          <w:rFonts w:ascii="仿宋" w:eastAsia="仿宋" w:hAnsi="仿宋" w:cs="仿宋_GB2312" w:hint="eastAsia"/>
          <w:sz w:val="32"/>
          <w:szCs w:val="32"/>
        </w:rPr>
        <w:t>培训并考核通过。</w:t>
      </w:r>
    </w:p>
    <w:p w14:paraId="1DEA43D4" w14:textId="77777777" w:rsidR="0049469E" w:rsidRPr="00261C36" w:rsidRDefault="00000000">
      <w:pPr>
        <w:spacing w:line="276" w:lineRule="auto"/>
        <w:ind w:firstLineChars="201" w:firstLine="643"/>
        <w:rPr>
          <w:rFonts w:ascii="仿宋" w:eastAsia="仿宋" w:hAnsi="仿宋" w:cs="仿宋_GB2312"/>
          <w:sz w:val="32"/>
          <w:szCs w:val="32"/>
        </w:rPr>
      </w:pPr>
      <w:r w:rsidRPr="00261C36">
        <w:rPr>
          <w:rFonts w:ascii="仿宋" w:eastAsia="仿宋" w:hAnsi="仿宋" w:cs="仿宋_GB2312" w:hint="eastAsia"/>
          <w:sz w:val="32"/>
          <w:szCs w:val="32"/>
        </w:rPr>
        <w:t>第七条 高级裁判员注册</w:t>
      </w:r>
      <w:r w:rsidRPr="00261C36">
        <w:rPr>
          <w:rFonts w:ascii="仿宋" w:eastAsia="仿宋" w:hAnsi="仿宋" w:cs="仿宋_GB2312" w:hint="eastAsia"/>
          <w:sz w:val="32"/>
          <w:szCs w:val="32"/>
          <w:lang w:eastAsia="zh-Hans"/>
        </w:rPr>
        <w:t>条件</w:t>
      </w:r>
    </w:p>
    <w:p w14:paraId="3F38DA0E" w14:textId="77777777" w:rsidR="0049469E" w:rsidRPr="00261C36" w:rsidRDefault="00000000">
      <w:pPr>
        <w:pStyle w:val="ab"/>
        <w:numPr>
          <w:ilvl w:val="0"/>
          <w:numId w:val="4"/>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但</w:t>
      </w:r>
      <w:proofErr w:type="gramStart"/>
      <w:r w:rsidRPr="00261C36">
        <w:rPr>
          <w:rFonts w:ascii="仿宋" w:eastAsia="仿宋" w:hAnsi="仿宋" w:cs="仿宋_GB2312" w:hint="eastAsia"/>
          <w:sz w:val="32"/>
          <w:szCs w:val="32"/>
        </w:rPr>
        <w:t>任匹克球</w:t>
      </w:r>
      <w:proofErr w:type="gramEnd"/>
      <w:r w:rsidRPr="00261C36">
        <w:rPr>
          <w:rFonts w:ascii="仿宋" w:eastAsia="仿宋" w:hAnsi="仿宋" w:cs="仿宋_GB2312" w:hint="eastAsia"/>
          <w:sz w:val="32"/>
          <w:szCs w:val="32"/>
        </w:rPr>
        <w:t>中级裁判员满三年；</w:t>
      </w:r>
    </w:p>
    <w:p w14:paraId="03123437" w14:textId="77777777" w:rsidR="0049469E" w:rsidRPr="00261C36" w:rsidRDefault="00000000">
      <w:pPr>
        <w:pStyle w:val="ab"/>
        <w:numPr>
          <w:ilvl w:val="0"/>
          <w:numId w:val="4"/>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至少有10次省或直辖市级以上比赛的执裁经验，或2次担任地（市）及以上级比赛的副裁判长以上职务；</w:t>
      </w:r>
    </w:p>
    <w:p w14:paraId="6C69CF62" w14:textId="77777777" w:rsidR="0049469E" w:rsidRPr="00261C36" w:rsidRDefault="00000000">
      <w:pPr>
        <w:pStyle w:val="ab"/>
        <w:numPr>
          <w:ilvl w:val="0"/>
          <w:numId w:val="4"/>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了解匹</w:t>
      </w:r>
      <w:proofErr w:type="gramStart"/>
      <w:r w:rsidRPr="00261C36">
        <w:rPr>
          <w:rFonts w:ascii="仿宋" w:eastAsia="仿宋" w:hAnsi="仿宋" w:cs="仿宋_GB2312" w:hint="eastAsia"/>
          <w:sz w:val="32"/>
          <w:szCs w:val="32"/>
        </w:rPr>
        <w:t>克球发展</w:t>
      </w:r>
      <w:proofErr w:type="gramEnd"/>
      <w:r w:rsidRPr="00261C36">
        <w:rPr>
          <w:rFonts w:ascii="仿宋" w:eastAsia="仿宋" w:hAnsi="仿宋" w:cs="仿宋_GB2312" w:hint="eastAsia"/>
          <w:sz w:val="32"/>
          <w:szCs w:val="32"/>
        </w:rPr>
        <w:t>趋势，与最新的</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规则保持同步；</w:t>
      </w:r>
    </w:p>
    <w:p w14:paraId="3245E5A8" w14:textId="77777777" w:rsidR="0049469E" w:rsidRPr="00261C36" w:rsidRDefault="00000000">
      <w:pPr>
        <w:pStyle w:val="ab"/>
        <w:numPr>
          <w:ilvl w:val="0"/>
          <w:numId w:val="4"/>
        </w:numPr>
        <w:spacing w:line="440" w:lineRule="exact"/>
        <w:ind w:left="1418" w:firstLineChars="0" w:hanging="862"/>
        <w:rPr>
          <w:rFonts w:ascii="仿宋" w:eastAsia="仿宋" w:hAnsi="仿宋" w:cs="仿宋_GB2312"/>
          <w:sz w:val="32"/>
          <w:szCs w:val="32"/>
        </w:rPr>
      </w:pPr>
      <w:r w:rsidRPr="00261C36">
        <w:rPr>
          <w:rFonts w:ascii="仿宋" w:eastAsia="仿宋" w:hAnsi="仿宋" w:cs="仿宋_GB2312" w:hint="eastAsia"/>
          <w:sz w:val="32"/>
          <w:szCs w:val="32"/>
        </w:rPr>
        <w:t>能够熟练掌握和准确运用</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规则和裁判法，掌握竞赛编排方法，能拟定竞赛规程并且有竞赛组织能力；</w:t>
      </w:r>
    </w:p>
    <w:p w14:paraId="3E881C99" w14:textId="77777777" w:rsidR="0049469E" w:rsidRPr="00261C36" w:rsidRDefault="00000000">
      <w:pPr>
        <w:pStyle w:val="ab"/>
        <w:numPr>
          <w:ilvl w:val="0"/>
          <w:numId w:val="4"/>
        </w:numPr>
        <w:spacing w:line="440" w:lineRule="exact"/>
        <w:ind w:left="1418" w:firstLineChars="0" w:hanging="862"/>
        <w:rPr>
          <w:rFonts w:ascii="仿宋" w:eastAsia="仿宋" w:hAnsi="仿宋" w:cs="仿宋_GB2312"/>
          <w:sz w:val="32"/>
          <w:szCs w:val="32"/>
        </w:rPr>
      </w:pPr>
      <w:proofErr w:type="gramStart"/>
      <w:r w:rsidRPr="00261C36">
        <w:rPr>
          <w:rFonts w:ascii="仿宋" w:eastAsia="仿宋" w:hAnsi="仿宋" w:cs="仿宋_GB2312" w:hint="eastAsia"/>
          <w:sz w:val="32"/>
          <w:szCs w:val="32"/>
        </w:rPr>
        <w:t>经匹克球</w:t>
      </w:r>
      <w:r w:rsidRPr="00261C36">
        <w:rPr>
          <w:rFonts w:ascii="仿宋" w:eastAsia="仿宋" w:hAnsi="仿宋" w:cs="仿宋_GB2312" w:hint="eastAsia"/>
          <w:sz w:val="32"/>
          <w:szCs w:val="32"/>
          <w:lang w:eastAsia="zh-Hans"/>
        </w:rPr>
        <w:t>高级</w:t>
      </w:r>
      <w:proofErr w:type="gramEnd"/>
      <w:r w:rsidRPr="00261C36">
        <w:rPr>
          <w:rFonts w:ascii="仿宋" w:eastAsia="仿宋" w:hAnsi="仿宋" w:cs="仿宋_GB2312" w:hint="eastAsia"/>
          <w:sz w:val="32"/>
          <w:szCs w:val="32"/>
          <w:lang w:eastAsia="zh-Hans"/>
        </w:rPr>
        <w:t>裁判员专业课程</w:t>
      </w:r>
      <w:r w:rsidRPr="00261C36">
        <w:rPr>
          <w:rFonts w:ascii="仿宋" w:eastAsia="仿宋" w:hAnsi="仿宋" w:cs="仿宋_GB2312" w:hint="eastAsia"/>
          <w:sz w:val="32"/>
          <w:szCs w:val="32"/>
        </w:rPr>
        <w:t>培训并考核通过。</w:t>
      </w:r>
    </w:p>
    <w:p w14:paraId="06BDE6C3" w14:textId="77777777" w:rsidR="0049469E" w:rsidRPr="00261C36" w:rsidRDefault="00000000">
      <w:pPr>
        <w:pStyle w:val="ab"/>
        <w:spacing w:line="276" w:lineRule="auto"/>
        <w:ind w:left="1" w:firstLineChars="201" w:firstLine="643"/>
        <w:rPr>
          <w:rFonts w:ascii="仿宋" w:eastAsia="仿宋" w:hAnsi="仿宋" w:cs="仿宋_GB2312"/>
          <w:sz w:val="32"/>
          <w:szCs w:val="32"/>
        </w:rPr>
      </w:pPr>
      <w:r w:rsidRPr="00261C36">
        <w:rPr>
          <w:rFonts w:ascii="仿宋" w:eastAsia="仿宋" w:hAnsi="仿宋" w:cs="仿宋_GB2312" w:hint="eastAsia"/>
          <w:sz w:val="32"/>
          <w:szCs w:val="32"/>
        </w:rPr>
        <w:t>第八条 裁判员培训、考核内容</w:t>
      </w:r>
    </w:p>
    <w:p w14:paraId="3E4A7DC3" w14:textId="77777777" w:rsidR="0049469E" w:rsidRPr="00261C36" w:rsidRDefault="00000000">
      <w:pPr>
        <w:pStyle w:val="ab"/>
        <w:numPr>
          <w:ilvl w:val="0"/>
          <w:numId w:val="5"/>
        </w:numPr>
        <w:spacing w:line="440" w:lineRule="exact"/>
        <w:ind w:left="1418" w:firstLineChars="0" w:hanging="851"/>
        <w:rPr>
          <w:rFonts w:ascii="仿宋" w:eastAsia="仿宋" w:hAnsi="仿宋" w:cs="仿宋_GB2312"/>
          <w:sz w:val="32"/>
          <w:szCs w:val="32"/>
        </w:rPr>
      </w:pPr>
      <w:r w:rsidRPr="00261C36">
        <w:rPr>
          <w:rFonts w:ascii="仿宋" w:eastAsia="仿宋" w:hAnsi="仿宋" w:cs="仿宋_GB2312" w:hint="eastAsia"/>
          <w:sz w:val="32"/>
          <w:szCs w:val="32"/>
        </w:rPr>
        <w:t>初级裁判员专业课程培训考核内容将包括笔试（IFP国际</w:t>
      </w:r>
      <w:proofErr w:type="gramStart"/>
      <w:r w:rsidRPr="00261C36">
        <w:rPr>
          <w:rFonts w:ascii="仿宋" w:eastAsia="仿宋" w:hAnsi="仿宋" w:cs="仿宋_GB2312" w:hint="eastAsia"/>
          <w:sz w:val="32"/>
          <w:szCs w:val="32"/>
        </w:rPr>
        <w:t>匹克球联合会</w:t>
      </w:r>
      <w:proofErr w:type="gramEnd"/>
      <w:r w:rsidRPr="00261C36">
        <w:rPr>
          <w:rFonts w:ascii="仿宋" w:eastAsia="仿宋" w:hAnsi="仿宋" w:cs="仿宋_GB2312" w:hint="eastAsia"/>
          <w:sz w:val="32"/>
          <w:szCs w:val="32"/>
        </w:rPr>
        <w:t>竞赛规则）和实操（赛前准备、装备及场地检查、</w:t>
      </w:r>
      <w:proofErr w:type="gramStart"/>
      <w:r w:rsidRPr="00261C36">
        <w:rPr>
          <w:rFonts w:ascii="仿宋" w:eastAsia="仿宋" w:hAnsi="仿宋" w:cs="仿宋_GB2312" w:hint="eastAsia"/>
          <w:sz w:val="32"/>
          <w:szCs w:val="32"/>
        </w:rPr>
        <w:t>执裁单双打</w:t>
      </w:r>
      <w:proofErr w:type="gramEnd"/>
      <w:r w:rsidRPr="00261C36">
        <w:rPr>
          <w:rFonts w:ascii="仿宋" w:eastAsia="仿宋" w:hAnsi="仿宋" w:cs="仿宋_GB2312" w:hint="eastAsia"/>
          <w:sz w:val="32"/>
          <w:szCs w:val="32"/>
        </w:rPr>
        <w:t>比赛的主裁判法及边线裁判法）两部分。主要考核基础内容。</w:t>
      </w:r>
    </w:p>
    <w:p w14:paraId="4AC78126" w14:textId="77777777" w:rsidR="0049469E" w:rsidRPr="00261C36" w:rsidRDefault="00000000">
      <w:pPr>
        <w:pStyle w:val="ab"/>
        <w:numPr>
          <w:ilvl w:val="0"/>
          <w:numId w:val="5"/>
        </w:numPr>
        <w:spacing w:line="440" w:lineRule="exact"/>
        <w:ind w:left="1418" w:firstLineChars="0" w:hanging="851"/>
        <w:rPr>
          <w:rFonts w:ascii="仿宋" w:eastAsia="仿宋" w:hAnsi="仿宋" w:cs="仿宋_GB2312"/>
          <w:sz w:val="32"/>
          <w:szCs w:val="32"/>
        </w:rPr>
      </w:pPr>
      <w:r w:rsidRPr="00261C36">
        <w:rPr>
          <w:rFonts w:ascii="仿宋" w:eastAsia="仿宋" w:hAnsi="仿宋" w:cs="仿宋_GB2312" w:hint="eastAsia"/>
          <w:sz w:val="32"/>
          <w:szCs w:val="32"/>
        </w:rPr>
        <w:t>中级裁判员专业课程培训考核内容将包括笔试（IFP国际</w:t>
      </w:r>
      <w:proofErr w:type="gramStart"/>
      <w:r w:rsidRPr="00261C36">
        <w:rPr>
          <w:rFonts w:ascii="仿宋" w:eastAsia="仿宋" w:hAnsi="仿宋" w:cs="仿宋_GB2312" w:hint="eastAsia"/>
          <w:sz w:val="32"/>
          <w:szCs w:val="32"/>
        </w:rPr>
        <w:t>匹克球联合会</w:t>
      </w:r>
      <w:proofErr w:type="gramEnd"/>
      <w:r w:rsidRPr="00261C36">
        <w:rPr>
          <w:rFonts w:ascii="仿宋" w:eastAsia="仿宋" w:hAnsi="仿宋" w:cs="仿宋_GB2312" w:hint="eastAsia"/>
          <w:sz w:val="32"/>
          <w:szCs w:val="32"/>
        </w:rPr>
        <w:t>竞赛规则）和实操（赛前准备、装备及场地检查、比赛执裁的主裁判法及边线裁判法，场上常见情形处理等）两部分。</w:t>
      </w:r>
    </w:p>
    <w:p w14:paraId="62B26A71" w14:textId="77777777" w:rsidR="0049469E" w:rsidRPr="00261C36" w:rsidRDefault="00000000">
      <w:pPr>
        <w:pStyle w:val="ab"/>
        <w:numPr>
          <w:ilvl w:val="0"/>
          <w:numId w:val="5"/>
        </w:numPr>
        <w:spacing w:line="440" w:lineRule="exact"/>
        <w:ind w:left="1418" w:firstLineChars="0" w:hanging="851"/>
        <w:rPr>
          <w:rFonts w:ascii="仿宋" w:eastAsia="仿宋" w:hAnsi="仿宋" w:cs="仿宋_GB2312"/>
          <w:sz w:val="32"/>
          <w:szCs w:val="32"/>
        </w:rPr>
      </w:pPr>
      <w:r w:rsidRPr="00261C36">
        <w:rPr>
          <w:rFonts w:ascii="仿宋" w:eastAsia="仿宋" w:hAnsi="仿宋" w:cs="仿宋_GB2312" w:hint="eastAsia"/>
          <w:sz w:val="32"/>
          <w:szCs w:val="32"/>
        </w:rPr>
        <w:t>高级裁判员专业课程培训考核内容将包括笔试（IFP国际</w:t>
      </w:r>
      <w:proofErr w:type="gramStart"/>
      <w:r w:rsidRPr="00261C36">
        <w:rPr>
          <w:rFonts w:ascii="仿宋" w:eastAsia="仿宋" w:hAnsi="仿宋" w:cs="仿宋_GB2312" w:hint="eastAsia"/>
          <w:sz w:val="32"/>
          <w:szCs w:val="32"/>
        </w:rPr>
        <w:t>匹克球联合会</w:t>
      </w:r>
      <w:proofErr w:type="gramEnd"/>
      <w:r w:rsidRPr="00261C36">
        <w:rPr>
          <w:rFonts w:ascii="仿宋" w:eastAsia="仿宋" w:hAnsi="仿宋" w:cs="仿宋_GB2312" w:hint="eastAsia"/>
          <w:sz w:val="32"/>
          <w:szCs w:val="32"/>
        </w:rPr>
        <w:t xml:space="preserve"> 竞赛规则）和实操（赛前准备、装备及场地检查、比赛执裁的主裁判法及边线裁判法，场上常见及不常见的情形处理等）两部分。</w:t>
      </w:r>
    </w:p>
    <w:p w14:paraId="71AA5082" w14:textId="77777777" w:rsidR="0049469E" w:rsidRPr="00261C36" w:rsidRDefault="00000000">
      <w:pPr>
        <w:pStyle w:val="ab"/>
        <w:spacing w:line="276" w:lineRule="auto"/>
        <w:ind w:left="1" w:firstLineChars="201" w:firstLine="643"/>
        <w:rPr>
          <w:rFonts w:ascii="仿宋" w:eastAsia="仿宋" w:hAnsi="仿宋" w:cs="仿宋_GB2312"/>
          <w:sz w:val="32"/>
          <w:szCs w:val="32"/>
        </w:rPr>
      </w:pPr>
      <w:r w:rsidRPr="00261C36">
        <w:rPr>
          <w:rFonts w:ascii="仿宋" w:eastAsia="仿宋" w:hAnsi="仿宋" w:cs="仿宋_GB2312" w:hint="eastAsia"/>
          <w:sz w:val="32"/>
          <w:szCs w:val="32"/>
        </w:rPr>
        <w:t>第九条 全体联及其授权培训机构将按如下频次组织各级裁判员的培训、考核：</w:t>
      </w:r>
    </w:p>
    <w:p w14:paraId="2DDF74CD" w14:textId="77777777" w:rsidR="0049469E" w:rsidRPr="00261C36" w:rsidRDefault="00000000">
      <w:pPr>
        <w:pStyle w:val="ab"/>
        <w:numPr>
          <w:ilvl w:val="1"/>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初级裁判员：每年多次；</w:t>
      </w:r>
    </w:p>
    <w:p w14:paraId="7090B3C3" w14:textId="77777777" w:rsidR="0049469E" w:rsidRPr="00261C36" w:rsidRDefault="00000000">
      <w:pPr>
        <w:pStyle w:val="ab"/>
        <w:numPr>
          <w:ilvl w:val="1"/>
          <w:numId w:val="3"/>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中级裁判员：每两年至少一次，视初级裁判员储备数</w:t>
      </w:r>
      <w:r w:rsidRPr="00261C36">
        <w:rPr>
          <w:rFonts w:ascii="仿宋" w:eastAsia="仿宋" w:hAnsi="仿宋" w:cs="仿宋_GB2312" w:hint="eastAsia"/>
          <w:sz w:val="32"/>
          <w:szCs w:val="32"/>
        </w:rPr>
        <w:lastRenderedPageBreak/>
        <w:t>量情况调整；</w:t>
      </w:r>
    </w:p>
    <w:p w14:paraId="7A4D3121" w14:textId="77777777" w:rsidR="0049469E" w:rsidRPr="00261C36" w:rsidRDefault="00000000">
      <w:pPr>
        <w:pStyle w:val="ab"/>
        <w:numPr>
          <w:ilvl w:val="1"/>
          <w:numId w:val="3"/>
        </w:numPr>
        <w:spacing w:line="440" w:lineRule="exact"/>
        <w:ind w:left="1418" w:firstLineChars="0" w:firstLine="0"/>
        <w:rPr>
          <w:rFonts w:ascii="仿宋" w:eastAsia="仿宋" w:hAnsi="仿宋" w:cs="仿宋_GB2312"/>
          <w:sz w:val="32"/>
          <w:szCs w:val="32"/>
        </w:rPr>
      </w:pPr>
      <w:r w:rsidRPr="00261C36">
        <w:rPr>
          <w:rFonts w:ascii="仿宋" w:eastAsia="仿宋" w:hAnsi="仿宋" w:cs="仿宋_GB2312" w:hint="eastAsia"/>
          <w:sz w:val="32"/>
          <w:szCs w:val="32"/>
        </w:rPr>
        <w:t>高级裁判员：根据中级裁判员储备数量情况酌情安排。</w:t>
      </w:r>
    </w:p>
    <w:p w14:paraId="7E62B166" w14:textId="77777777" w:rsidR="0049469E" w:rsidRPr="00261C36" w:rsidRDefault="00000000">
      <w:pPr>
        <w:spacing w:line="440" w:lineRule="exact"/>
        <w:ind w:left="1"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第十条 满足相应级别裁判员的注册条件、通过相应级别的裁判员专业课程培训并考核通过者将同时获得相应级别的裁判员等级认证，获得由全体联颁发的</w:t>
      </w:r>
      <w:proofErr w:type="gramStart"/>
      <w:r w:rsidRPr="00261C36">
        <w:rPr>
          <w:rFonts w:ascii="仿宋" w:eastAsia="仿宋" w:hAnsi="仿宋" w:cs="仿宋_GB2312" w:hint="eastAsia"/>
          <w:sz w:val="32"/>
          <w:szCs w:val="32"/>
        </w:rPr>
        <w:t>匹克球裁判员</w:t>
      </w:r>
      <w:proofErr w:type="gramEnd"/>
      <w:r w:rsidRPr="00261C36">
        <w:rPr>
          <w:rFonts w:ascii="仿宋" w:eastAsia="仿宋" w:hAnsi="仿宋" w:cs="仿宋_GB2312" w:hint="eastAsia"/>
          <w:sz w:val="32"/>
          <w:szCs w:val="32"/>
        </w:rPr>
        <w:t>等级证书。</w:t>
      </w:r>
    </w:p>
    <w:p w14:paraId="2B3CA458"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第十一条 各级裁判员等级证书由全体</w:t>
      </w:r>
      <w:proofErr w:type="gramStart"/>
      <w:r w:rsidRPr="00261C36">
        <w:rPr>
          <w:rFonts w:ascii="仿宋" w:eastAsia="仿宋" w:hAnsi="仿宋" w:cs="仿宋_GB2312" w:hint="eastAsia"/>
          <w:sz w:val="32"/>
          <w:szCs w:val="32"/>
        </w:rPr>
        <w:t>联统一</w:t>
      </w:r>
      <w:proofErr w:type="gramEnd"/>
      <w:r w:rsidRPr="00261C36">
        <w:rPr>
          <w:rFonts w:ascii="仿宋" w:eastAsia="仿宋" w:hAnsi="仿宋" w:cs="仿宋_GB2312" w:hint="eastAsia"/>
          <w:sz w:val="32"/>
          <w:szCs w:val="32"/>
        </w:rPr>
        <w:t>制作，</w:t>
      </w:r>
      <w:r w:rsidRPr="00261C36">
        <w:rPr>
          <w:rFonts w:ascii="仿宋" w:eastAsia="仿宋" w:hAnsi="仿宋" w:cs="仿宋_GB2312" w:hint="eastAsia"/>
          <w:sz w:val="32"/>
          <w:szCs w:val="32"/>
          <w:lang w:eastAsia="zh-Hans"/>
        </w:rPr>
        <w:t>由全体联授权培训单位发放</w:t>
      </w:r>
      <w:r w:rsidRPr="00261C36">
        <w:rPr>
          <w:rFonts w:ascii="仿宋" w:eastAsia="仿宋" w:hAnsi="仿宋" w:cs="仿宋_GB2312" w:hint="eastAsia"/>
          <w:sz w:val="32"/>
          <w:szCs w:val="32"/>
        </w:rPr>
        <w:t>。</w:t>
      </w:r>
    </w:p>
    <w:p w14:paraId="50799B69" w14:textId="77777777" w:rsidR="0049469E" w:rsidRPr="00261C36" w:rsidRDefault="0049469E">
      <w:pPr>
        <w:spacing w:line="276" w:lineRule="auto"/>
        <w:rPr>
          <w:rFonts w:ascii="仿宋" w:eastAsia="仿宋" w:hAnsi="仿宋" w:cs="仿宋_GB2312"/>
          <w:sz w:val="32"/>
          <w:szCs w:val="32"/>
        </w:rPr>
      </w:pPr>
    </w:p>
    <w:p w14:paraId="644BE402" w14:textId="77777777" w:rsidR="0049469E" w:rsidRPr="00261C36" w:rsidRDefault="00000000">
      <w:pPr>
        <w:spacing w:line="276" w:lineRule="auto"/>
        <w:jc w:val="center"/>
        <w:rPr>
          <w:rFonts w:ascii="仿宋" w:eastAsia="仿宋" w:hAnsi="仿宋" w:cs="仿宋_GB2312"/>
          <w:b/>
          <w:bCs/>
          <w:sz w:val="32"/>
          <w:szCs w:val="32"/>
        </w:rPr>
      </w:pPr>
      <w:r w:rsidRPr="00261C36">
        <w:rPr>
          <w:rFonts w:ascii="仿宋" w:eastAsia="仿宋" w:hAnsi="仿宋" w:cs="仿宋_GB2312" w:hint="eastAsia"/>
          <w:b/>
          <w:bCs/>
          <w:sz w:val="32"/>
          <w:szCs w:val="32"/>
        </w:rPr>
        <w:t>第三章</w:t>
      </w:r>
      <w:r w:rsidRPr="00261C36">
        <w:rPr>
          <w:rFonts w:ascii="仿宋" w:eastAsia="仿宋" w:hAnsi="仿宋" w:cs="仿宋_GB2312"/>
          <w:b/>
          <w:bCs/>
          <w:sz w:val="32"/>
          <w:szCs w:val="32"/>
        </w:rPr>
        <w:t xml:space="preserve"> </w:t>
      </w:r>
      <w:r w:rsidRPr="00261C36">
        <w:rPr>
          <w:rFonts w:ascii="仿宋" w:eastAsia="仿宋" w:hAnsi="仿宋" w:cs="仿宋_GB2312" w:hint="eastAsia"/>
          <w:b/>
          <w:bCs/>
          <w:sz w:val="32"/>
          <w:szCs w:val="32"/>
        </w:rPr>
        <w:t>注册管理</w:t>
      </w:r>
    </w:p>
    <w:p w14:paraId="4E770AE6"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第十二条 裁判员实行统一注册管理制度。</w:t>
      </w:r>
    </w:p>
    <w:p w14:paraId="47EA0228"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第十三条 各级裁判员在取得裁判员等级证书后须填写“附件一 匹克球裁判员注册申请表”向全体</w:t>
      </w:r>
      <w:proofErr w:type="gramStart"/>
      <w:r w:rsidRPr="00261C36">
        <w:rPr>
          <w:rFonts w:ascii="仿宋" w:eastAsia="仿宋" w:hAnsi="仿宋" w:cs="仿宋_GB2312" w:hint="eastAsia"/>
          <w:sz w:val="32"/>
          <w:szCs w:val="32"/>
        </w:rPr>
        <w:t>联申请</w:t>
      </w:r>
      <w:proofErr w:type="gramEnd"/>
      <w:r w:rsidRPr="00261C36">
        <w:rPr>
          <w:rFonts w:ascii="仿宋" w:eastAsia="仿宋" w:hAnsi="仿宋" w:cs="仿宋_GB2312" w:hint="eastAsia"/>
          <w:sz w:val="32"/>
          <w:szCs w:val="32"/>
        </w:rPr>
        <w:t>登记注册。登记注册由授权培训机构统一提交。全体联在十五个工作日内给出是否准予注册的意见。</w:t>
      </w:r>
    </w:p>
    <w:p w14:paraId="776181E2"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第十四条 全体联每两年按地域组织一次对注册裁判员的继续</w:t>
      </w:r>
      <w:r w:rsidRPr="00261C36">
        <w:rPr>
          <w:rFonts w:ascii="仿宋" w:eastAsia="仿宋" w:hAnsi="仿宋" w:cs="仿宋_GB2312" w:hint="eastAsia"/>
          <w:sz w:val="32"/>
          <w:szCs w:val="32"/>
          <w:lang w:eastAsia="zh-Hans"/>
        </w:rPr>
        <w:t>教育</w:t>
      </w:r>
      <w:r w:rsidRPr="00261C36">
        <w:rPr>
          <w:rFonts w:ascii="仿宋" w:eastAsia="仿宋" w:hAnsi="仿宋" w:cs="仿宋_GB2312" w:hint="eastAsia"/>
          <w:sz w:val="32"/>
          <w:szCs w:val="32"/>
        </w:rPr>
        <w:t>培训，以保持和提高注册裁判员的执裁水平。</w:t>
      </w:r>
    </w:p>
    <w:p w14:paraId="72C0B4A2"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第十五条 未注册的裁判员或失去注册资格的裁判员，将无法在全体联组织或支持的相关赛事中的</w:t>
      </w:r>
      <w:r w:rsidRPr="00261C36">
        <w:rPr>
          <w:rFonts w:ascii="仿宋" w:eastAsia="仿宋" w:hAnsi="仿宋" w:cs="仿宋_GB2312" w:hint="eastAsia"/>
          <w:sz w:val="32"/>
          <w:szCs w:val="32"/>
          <w:lang w:eastAsia="zh-Hans"/>
        </w:rPr>
        <w:t>执行</w:t>
      </w:r>
      <w:r w:rsidRPr="00261C36">
        <w:rPr>
          <w:rFonts w:ascii="仿宋" w:eastAsia="仿宋" w:hAnsi="仿宋" w:cs="仿宋_GB2312" w:hint="eastAsia"/>
          <w:sz w:val="32"/>
          <w:szCs w:val="32"/>
        </w:rPr>
        <w:t>裁判工作。</w:t>
      </w:r>
    </w:p>
    <w:p w14:paraId="65DE9CAA" w14:textId="77777777" w:rsidR="0049469E" w:rsidRPr="00261C36" w:rsidRDefault="0049469E">
      <w:pPr>
        <w:spacing w:line="276" w:lineRule="auto"/>
        <w:ind w:firstLineChars="201" w:firstLine="643"/>
        <w:rPr>
          <w:rFonts w:ascii="仿宋" w:eastAsia="仿宋" w:hAnsi="仿宋" w:cs="仿宋_GB2312"/>
          <w:sz w:val="32"/>
          <w:szCs w:val="32"/>
        </w:rPr>
      </w:pPr>
    </w:p>
    <w:p w14:paraId="282D22AA" w14:textId="77777777" w:rsidR="0049469E" w:rsidRPr="00261C36" w:rsidRDefault="00000000">
      <w:pPr>
        <w:spacing w:line="276" w:lineRule="auto"/>
        <w:jc w:val="center"/>
        <w:rPr>
          <w:rFonts w:ascii="仿宋" w:eastAsia="仿宋" w:hAnsi="仿宋" w:cs="仿宋_GB2312"/>
          <w:b/>
          <w:bCs/>
          <w:sz w:val="32"/>
          <w:szCs w:val="32"/>
        </w:rPr>
      </w:pPr>
      <w:r w:rsidRPr="00261C36">
        <w:rPr>
          <w:rFonts w:ascii="仿宋" w:eastAsia="仿宋" w:hAnsi="仿宋" w:cs="仿宋_GB2312" w:hint="eastAsia"/>
          <w:b/>
          <w:bCs/>
          <w:sz w:val="32"/>
          <w:szCs w:val="32"/>
        </w:rPr>
        <w:t>第四章</w:t>
      </w:r>
      <w:r w:rsidRPr="00261C36">
        <w:rPr>
          <w:rFonts w:ascii="仿宋" w:eastAsia="仿宋" w:hAnsi="仿宋" w:cs="仿宋_GB2312"/>
          <w:b/>
          <w:bCs/>
          <w:sz w:val="32"/>
          <w:szCs w:val="32"/>
        </w:rPr>
        <w:t xml:space="preserve"> </w:t>
      </w:r>
      <w:r w:rsidRPr="00261C36">
        <w:rPr>
          <w:rFonts w:ascii="仿宋" w:eastAsia="仿宋" w:hAnsi="仿宋" w:cs="仿宋_GB2312" w:hint="eastAsia"/>
          <w:b/>
          <w:bCs/>
          <w:sz w:val="32"/>
          <w:szCs w:val="32"/>
        </w:rPr>
        <w:t>选派</w:t>
      </w:r>
    </w:p>
    <w:p w14:paraId="6697A5BA"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第十六条 全国性匹克球赛事的裁判长、副裁判长及主裁判员将由全体联选派高级裁判员担任，其它裁判员将由全体联选派中级裁判员担任。</w:t>
      </w:r>
    </w:p>
    <w:p w14:paraId="62BDC5D5"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第十七条 各省、自治区、直辖市举办的匹克球赛事，全体联将在裁判员数据库中选派适宜赛事级别的裁判员参与执裁工作。 各级比赛裁判员的选派工作将遵循公开、就近、择优和中立的原则进行。</w:t>
      </w:r>
    </w:p>
    <w:p w14:paraId="255B607C"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第十八条 裁判员参加赛事执</w:t>
      </w:r>
      <w:proofErr w:type="gramStart"/>
      <w:r w:rsidRPr="00261C36">
        <w:rPr>
          <w:rFonts w:ascii="仿宋" w:eastAsia="仿宋" w:hAnsi="仿宋" w:cs="仿宋_GB2312" w:hint="eastAsia"/>
          <w:sz w:val="32"/>
          <w:szCs w:val="32"/>
        </w:rPr>
        <w:t>裁实行</w:t>
      </w:r>
      <w:proofErr w:type="gramEnd"/>
      <w:r w:rsidRPr="00261C36">
        <w:rPr>
          <w:rFonts w:ascii="仿宋" w:eastAsia="仿宋" w:hAnsi="仿宋" w:cs="仿宋_GB2312" w:hint="eastAsia"/>
          <w:sz w:val="32"/>
          <w:szCs w:val="32"/>
        </w:rPr>
        <w:t>回避制度，在工作中自觉杜绝与球队或球员的联系。临场执</w:t>
      </w:r>
      <w:proofErr w:type="gramStart"/>
      <w:r w:rsidRPr="00261C36">
        <w:rPr>
          <w:rFonts w:ascii="仿宋" w:eastAsia="仿宋" w:hAnsi="仿宋" w:cs="仿宋_GB2312" w:hint="eastAsia"/>
          <w:sz w:val="32"/>
          <w:szCs w:val="32"/>
        </w:rPr>
        <w:t>裁采取</w:t>
      </w:r>
      <w:proofErr w:type="gramEnd"/>
      <w:r w:rsidRPr="00261C36">
        <w:rPr>
          <w:rFonts w:ascii="仿宋" w:eastAsia="仿宋" w:hAnsi="仿宋" w:cs="仿宋_GB2312" w:hint="eastAsia"/>
          <w:sz w:val="32"/>
          <w:szCs w:val="32"/>
        </w:rPr>
        <w:t>实施监督制度，确保裁判员公平执裁。</w:t>
      </w:r>
    </w:p>
    <w:p w14:paraId="3D91424C" w14:textId="77777777" w:rsidR="0049469E" w:rsidRPr="00261C36" w:rsidRDefault="00000000">
      <w:pPr>
        <w:spacing w:line="276" w:lineRule="auto"/>
        <w:jc w:val="center"/>
        <w:rPr>
          <w:rFonts w:ascii="仿宋" w:eastAsia="仿宋" w:hAnsi="仿宋" w:cs="仿宋_GB2312"/>
          <w:b/>
          <w:bCs/>
          <w:sz w:val="32"/>
          <w:szCs w:val="32"/>
        </w:rPr>
      </w:pPr>
      <w:r w:rsidRPr="00261C36">
        <w:rPr>
          <w:rFonts w:ascii="仿宋" w:eastAsia="仿宋" w:hAnsi="仿宋" w:cs="仿宋_GB2312" w:hint="eastAsia"/>
          <w:b/>
          <w:bCs/>
          <w:sz w:val="32"/>
          <w:szCs w:val="32"/>
        </w:rPr>
        <w:lastRenderedPageBreak/>
        <w:t>第五章</w:t>
      </w:r>
      <w:r w:rsidRPr="00261C36">
        <w:rPr>
          <w:rFonts w:ascii="仿宋" w:eastAsia="仿宋" w:hAnsi="仿宋" w:cs="仿宋_GB2312"/>
          <w:b/>
          <w:bCs/>
          <w:sz w:val="32"/>
          <w:szCs w:val="32"/>
        </w:rPr>
        <w:t xml:space="preserve"> </w:t>
      </w:r>
      <w:r w:rsidRPr="00261C36">
        <w:rPr>
          <w:rFonts w:ascii="仿宋" w:eastAsia="仿宋" w:hAnsi="仿宋" w:cs="仿宋_GB2312" w:hint="eastAsia"/>
          <w:b/>
          <w:bCs/>
          <w:sz w:val="32"/>
          <w:szCs w:val="32"/>
        </w:rPr>
        <w:t>权利和义务</w:t>
      </w:r>
    </w:p>
    <w:p w14:paraId="08A941DE"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第十九条 各级裁判员享有以下权力:</w:t>
      </w:r>
    </w:p>
    <w:p w14:paraId="60509679" w14:textId="77777777" w:rsidR="0049469E" w:rsidRPr="00261C36" w:rsidRDefault="00000000">
      <w:pPr>
        <w:pStyle w:val="ab"/>
        <w:numPr>
          <w:ilvl w:val="0"/>
          <w:numId w:val="6"/>
        </w:numPr>
        <w:spacing w:line="440" w:lineRule="exact"/>
        <w:ind w:left="1134" w:firstLineChars="0"/>
        <w:rPr>
          <w:rFonts w:ascii="仿宋" w:eastAsia="仿宋" w:hAnsi="仿宋" w:cs="仿宋_GB2312"/>
          <w:sz w:val="32"/>
          <w:szCs w:val="32"/>
        </w:rPr>
      </w:pPr>
      <w:r w:rsidRPr="00261C36">
        <w:rPr>
          <w:rFonts w:ascii="仿宋" w:eastAsia="仿宋" w:hAnsi="仿宋" w:cs="仿宋_GB2312" w:hint="eastAsia"/>
          <w:sz w:val="32"/>
          <w:szCs w:val="32"/>
        </w:rPr>
        <w:t>参加相应等级的</w:t>
      </w:r>
      <w:proofErr w:type="gramStart"/>
      <w:r w:rsidRPr="00261C36">
        <w:rPr>
          <w:rFonts w:ascii="仿宋" w:eastAsia="仿宋" w:hAnsi="仿宋" w:cs="仿宋_GB2312" w:hint="eastAsia"/>
          <w:sz w:val="32"/>
          <w:szCs w:val="32"/>
        </w:rPr>
        <w:t>匹克球竞赛</w:t>
      </w:r>
      <w:proofErr w:type="gramEnd"/>
      <w:r w:rsidRPr="00261C36">
        <w:rPr>
          <w:rFonts w:ascii="仿宋" w:eastAsia="仿宋" w:hAnsi="仿宋" w:cs="仿宋_GB2312" w:hint="eastAsia"/>
          <w:sz w:val="32"/>
          <w:szCs w:val="32"/>
        </w:rPr>
        <w:t>执裁工作；</w:t>
      </w:r>
    </w:p>
    <w:p w14:paraId="0EA97BF9" w14:textId="77777777" w:rsidR="0049469E" w:rsidRPr="00261C36" w:rsidRDefault="00000000">
      <w:pPr>
        <w:pStyle w:val="ab"/>
        <w:numPr>
          <w:ilvl w:val="0"/>
          <w:numId w:val="6"/>
        </w:numPr>
        <w:spacing w:line="440" w:lineRule="exact"/>
        <w:ind w:left="1134" w:firstLineChars="0"/>
        <w:rPr>
          <w:rFonts w:ascii="仿宋" w:eastAsia="仿宋" w:hAnsi="仿宋" w:cs="仿宋_GB2312"/>
          <w:sz w:val="32"/>
          <w:szCs w:val="32"/>
        </w:rPr>
      </w:pPr>
      <w:r w:rsidRPr="00261C36">
        <w:rPr>
          <w:rFonts w:ascii="仿宋" w:eastAsia="仿宋" w:hAnsi="仿宋" w:cs="仿宋_GB2312" w:hint="eastAsia"/>
          <w:sz w:val="32"/>
          <w:szCs w:val="32"/>
        </w:rPr>
        <w:t xml:space="preserve"> 参加裁判员的学习、培训和继续教育；</w:t>
      </w:r>
    </w:p>
    <w:p w14:paraId="1705B509" w14:textId="77777777" w:rsidR="0049469E" w:rsidRPr="00261C36" w:rsidRDefault="00000000">
      <w:pPr>
        <w:pStyle w:val="ab"/>
        <w:numPr>
          <w:ilvl w:val="0"/>
          <w:numId w:val="6"/>
        </w:numPr>
        <w:spacing w:line="440" w:lineRule="exact"/>
        <w:ind w:left="1134" w:firstLineChars="0"/>
        <w:rPr>
          <w:rFonts w:ascii="仿宋" w:eastAsia="仿宋" w:hAnsi="仿宋" w:cs="仿宋_GB2312"/>
          <w:sz w:val="32"/>
          <w:szCs w:val="32"/>
        </w:rPr>
      </w:pPr>
      <w:r w:rsidRPr="00261C36">
        <w:rPr>
          <w:rFonts w:ascii="仿宋" w:eastAsia="仿宋" w:hAnsi="仿宋" w:cs="仿宋_GB2312" w:hint="eastAsia"/>
          <w:sz w:val="32"/>
          <w:szCs w:val="32"/>
        </w:rPr>
        <w:t xml:space="preserve"> 享受参加匹克球赛事裁判工作的相关待遇；</w:t>
      </w:r>
    </w:p>
    <w:p w14:paraId="50FEC8E0" w14:textId="77777777" w:rsidR="0049469E" w:rsidRPr="00261C36" w:rsidRDefault="00000000">
      <w:pPr>
        <w:pStyle w:val="ab"/>
        <w:numPr>
          <w:ilvl w:val="0"/>
          <w:numId w:val="6"/>
        </w:numPr>
        <w:spacing w:line="440" w:lineRule="exact"/>
        <w:ind w:left="1134" w:firstLineChars="0"/>
        <w:rPr>
          <w:rFonts w:ascii="仿宋" w:eastAsia="仿宋" w:hAnsi="仿宋" w:cs="仿宋_GB2312"/>
          <w:sz w:val="32"/>
          <w:szCs w:val="32"/>
        </w:rPr>
      </w:pPr>
      <w:r w:rsidRPr="00261C36">
        <w:rPr>
          <w:rFonts w:ascii="仿宋" w:eastAsia="仿宋" w:hAnsi="仿宋" w:cs="仿宋_GB2312" w:hint="eastAsia"/>
          <w:sz w:val="32"/>
          <w:szCs w:val="32"/>
        </w:rPr>
        <w:t xml:space="preserve"> 被处罚时有申诉的权力。</w:t>
      </w:r>
    </w:p>
    <w:p w14:paraId="596D1277" w14:textId="77777777" w:rsidR="0049469E" w:rsidRPr="00261C36" w:rsidRDefault="0049469E">
      <w:pPr>
        <w:pStyle w:val="ab"/>
        <w:spacing w:line="276" w:lineRule="auto"/>
        <w:ind w:left="880" w:firstLineChars="0" w:firstLine="0"/>
        <w:rPr>
          <w:rFonts w:ascii="仿宋" w:eastAsia="仿宋" w:hAnsi="仿宋" w:cs="仿宋_GB2312"/>
          <w:sz w:val="32"/>
          <w:szCs w:val="32"/>
        </w:rPr>
      </w:pPr>
    </w:p>
    <w:p w14:paraId="486A37F2"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第二十条 各级裁判承担下列义务:</w:t>
      </w:r>
    </w:p>
    <w:p w14:paraId="2DF11B27" w14:textId="77777777" w:rsidR="0049469E" w:rsidRPr="00261C36" w:rsidRDefault="00000000">
      <w:pPr>
        <w:pStyle w:val="ab"/>
        <w:numPr>
          <w:ilvl w:val="1"/>
          <w:numId w:val="5"/>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自觉遵守有关纪律和规定，廉洁自律，公平、公正执裁；</w:t>
      </w:r>
    </w:p>
    <w:p w14:paraId="15AB71A6" w14:textId="77777777" w:rsidR="0049469E" w:rsidRPr="00261C36" w:rsidRDefault="00000000">
      <w:pPr>
        <w:pStyle w:val="ab"/>
        <w:numPr>
          <w:ilvl w:val="1"/>
          <w:numId w:val="5"/>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主动学习并研究</w:t>
      </w:r>
      <w:proofErr w:type="gramStart"/>
      <w:r w:rsidRPr="00261C36">
        <w:rPr>
          <w:rFonts w:ascii="仿宋" w:eastAsia="仿宋" w:hAnsi="仿宋" w:cs="仿宋_GB2312" w:hint="eastAsia"/>
          <w:sz w:val="32"/>
          <w:szCs w:val="32"/>
        </w:rPr>
        <w:t>匹克球的</w:t>
      </w:r>
      <w:proofErr w:type="gramEnd"/>
      <w:r w:rsidRPr="00261C36">
        <w:rPr>
          <w:rFonts w:ascii="仿宋" w:eastAsia="仿宋" w:hAnsi="仿宋" w:cs="仿宋_GB2312" w:hint="eastAsia"/>
          <w:sz w:val="32"/>
          <w:szCs w:val="32"/>
        </w:rPr>
        <w:t>最新规则及裁判法；</w:t>
      </w:r>
    </w:p>
    <w:p w14:paraId="6D33B5E8" w14:textId="77777777" w:rsidR="0049469E" w:rsidRPr="00261C36" w:rsidRDefault="00000000">
      <w:pPr>
        <w:pStyle w:val="ab"/>
        <w:numPr>
          <w:ilvl w:val="1"/>
          <w:numId w:val="5"/>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主动参加继续教育活动，并服从安排对其他裁判员进行传、帮、带；</w:t>
      </w:r>
    </w:p>
    <w:p w14:paraId="73D685DB" w14:textId="77777777" w:rsidR="0049469E" w:rsidRPr="00261C36" w:rsidRDefault="00000000">
      <w:pPr>
        <w:pStyle w:val="ab"/>
        <w:numPr>
          <w:ilvl w:val="1"/>
          <w:numId w:val="5"/>
        </w:numPr>
        <w:spacing w:line="440" w:lineRule="exact"/>
        <w:ind w:left="1418" w:firstLineChars="0"/>
        <w:rPr>
          <w:rFonts w:ascii="仿宋" w:eastAsia="仿宋" w:hAnsi="仿宋" w:cs="仿宋_GB2312"/>
          <w:sz w:val="32"/>
          <w:szCs w:val="32"/>
        </w:rPr>
      </w:pPr>
      <w:r w:rsidRPr="00261C36">
        <w:rPr>
          <w:rFonts w:ascii="仿宋" w:eastAsia="仿宋" w:hAnsi="仿宋" w:cs="仿宋_GB2312" w:hint="eastAsia"/>
          <w:sz w:val="32"/>
          <w:szCs w:val="32"/>
        </w:rPr>
        <w:t>主动承担并参加各类裁判工作，尤其是推广期的义务或自愿者工作。</w:t>
      </w:r>
    </w:p>
    <w:p w14:paraId="07DA1713" w14:textId="77777777" w:rsidR="0049469E" w:rsidRPr="00261C36" w:rsidRDefault="0049469E">
      <w:pPr>
        <w:pStyle w:val="ab"/>
        <w:spacing w:line="276" w:lineRule="auto"/>
        <w:ind w:left="1144" w:firstLineChars="0" w:firstLine="0"/>
        <w:rPr>
          <w:rFonts w:ascii="仿宋" w:eastAsia="仿宋" w:hAnsi="仿宋" w:cs="仿宋_GB2312"/>
          <w:sz w:val="32"/>
          <w:szCs w:val="32"/>
        </w:rPr>
      </w:pPr>
    </w:p>
    <w:p w14:paraId="54B3F8C3" w14:textId="77777777" w:rsidR="0049469E" w:rsidRPr="00261C36" w:rsidRDefault="00000000">
      <w:pPr>
        <w:pStyle w:val="ab"/>
        <w:spacing w:line="276" w:lineRule="auto"/>
        <w:ind w:firstLineChars="0" w:firstLine="0"/>
        <w:jc w:val="center"/>
        <w:rPr>
          <w:rFonts w:ascii="仿宋" w:eastAsia="仿宋" w:hAnsi="仿宋" w:cs="仿宋_GB2312"/>
          <w:b/>
          <w:bCs/>
          <w:sz w:val="32"/>
          <w:szCs w:val="32"/>
        </w:rPr>
      </w:pPr>
      <w:r w:rsidRPr="00261C36">
        <w:rPr>
          <w:rFonts w:ascii="仿宋" w:eastAsia="仿宋" w:hAnsi="仿宋" w:cs="仿宋_GB2312" w:hint="eastAsia"/>
          <w:b/>
          <w:bCs/>
          <w:sz w:val="32"/>
          <w:szCs w:val="32"/>
        </w:rPr>
        <w:t>第六章</w:t>
      </w:r>
      <w:r w:rsidRPr="00261C36">
        <w:rPr>
          <w:rFonts w:ascii="仿宋" w:eastAsia="仿宋" w:hAnsi="仿宋" w:cs="仿宋_GB2312"/>
          <w:b/>
          <w:bCs/>
          <w:sz w:val="32"/>
          <w:szCs w:val="32"/>
        </w:rPr>
        <w:t xml:space="preserve"> </w:t>
      </w:r>
      <w:r w:rsidRPr="00261C36">
        <w:rPr>
          <w:rFonts w:ascii="仿宋" w:eastAsia="仿宋" w:hAnsi="仿宋" w:cs="仿宋_GB2312" w:hint="eastAsia"/>
          <w:b/>
          <w:bCs/>
          <w:sz w:val="32"/>
          <w:szCs w:val="32"/>
        </w:rPr>
        <w:t>继续教育考核和处罚</w:t>
      </w:r>
    </w:p>
    <w:p w14:paraId="175B27E9"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第二十一条 全体联以两年为周期对注册的裁判员进行一次继续</w:t>
      </w:r>
      <w:r w:rsidRPr="00261C36">
        <w:rPr>
          <w:rFonts w:ascii="仿宋" w:eastAsia="仿宋" w:hAnsi="仿宋" w:cs="仿宋_GB2312" w:hint="eastAsia"/>
          <w:sz w:val="32"/>
          <w:szCs w:val="32"/>
          <w:lang w:eastAsia="zh-Hans"/>
        </w:rPr>
        <w:t>教育的</w:t>
      </w:r>
      <w:r w:rsidRPr="00261C36">
        <w:rPr>
          <w:rFonts w:ascii="仿宋" w:eastAsia="仿宋" w:hAnsi="仿宋" w:cs="仿宋_GB2312" w:hint="eastAsia"/>
          <w:sz w:val="32"/>
          <w:szCs w:val="32"/>
        </w:rPr>
        <w:t>培训和考核。未参加继续</w:t>
      </w:r>
      <w:r w:rsidRPr="00261C36">
        <w:rPr>
          <w:rFonts w:ascii="仿宋" w:eastAsia="仿宋" w:hAnsi="仿宋" w:cs="仿宋_GB2312" w:hint="eastAsia"/>
          <w:sz w:val="32"/>
          <w:szCs w:val="32"/>
          <w:lang w:eastAsia="zh-Hans"/>
        </w:rPr>
        <w:t>教育</w:t>
      </w:r>
      <w:r w:rsidRPr="00261C36">
        <w:rPr>
          <w:rFonts w:ascii="仿宋" w:eastAsia="仿宋" w:hAnsi="仿宋" w:cs="仿宋_GB2312" w:hint="eastAsia"/>
          <w:sz w:val="32"/>
          <w:szCs w:val="32"/>
        </w:rPr>
        <w:t>培训或考核未通过的裁判员将不会被选派参与其后赛事的执裁工作。连续两个周期未参加继续培训的注册裁判员将失去裁判员注册资格。</w:t>
      </w:r>
    </w:p>
    <w:p w14:paraId="1F16CBAC"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第二十二条  对违规、违纪注册裁判员的处罚，以处罚严重程度由轻到重为序，分为如下几个等级：警告（口头、书面）、取消若干场次的执裁资格、取消一至两年的执裁资格、降低裁判员技术等级、注销注册裁判员资格、终身禁止裁判员执裁资格等。</w:t>
      </w:r>
    </w:p>
    <w:p w14:paraId="48903789" w14:textId="77777777" w:rsidR="0049469E" w:rsidRPr="00261C36" w:rsidRDefault="0049469E">
      <w:pPr>
        <w:spacing w:line="276" w:lineRule="auto"/>
        <w:ind w:firstLineChars="201" w:firstLine="643"/>
        <w:rPr>
          <w:rFonts w:ascii="仿宋" w:eastAsia="仿宋" w:hAnsi="仿宋" w:cs="仿宋_GB2312"/>
          <w:sz w:val="32"/>
          <w:szCs w:val="32"/>
        </w:rPr>
      </w:pPr>
    </w:p>
    <w:p w14:paraId="5FAF697F" w14:textId="77777777" w:rsidR="0049469E" w:rsidRPr="00261C36" w:rsidRDefault="00000000">
      <w:pPr>
        <w:spacing w:line="276" w:lineRule="auto"/>
        <w:jc w:val="center"/>
        <w:rPr>
          <w:rFonts w:ascii="仿宋" w:eastAsia="仿宋" w:hAnsi="仿宋" w:cs="仿宋_GB2312"/>
          <w:b/>
          <w:bCs/>
          <w:sz w:val="32"/>
          <w:szCs w:val="32"/>
        </w:rPr>
      </w:pPr>
      <w:r w:rsidRPr="00261C36">
        <w:rPr>
          <w:rFonts w:ascii="仿宋" w:eastAsia="仿宋" w:hAnsi="仿宋" w:cs="仿宋_GB2312" w:hint="eastAsia"/>
          <w:b/>
          <w:bCs/>
          <w:sz w:val="32"/>
          <w:szCs w:val="32"/>
        </w:rPr>
        <w:t>第七章</w:t>
      </w:r>
      <w:r w:rsidRPr="00261C36">
        <w:rPr>
          <w:rFonts w:ascii="仿宋" w:eastAsia="仿宋" w:hAnsi="仿宋" w:cs="仿宋_GB2312"/>
          <w:b/>
          <w:bCs/>
          <w:sz w:val="32"/>
          <w:szCs w:val="32"/>
        </w:rPr>
        <w:t xml:space="preserve"> </w:t>
      </w:r>
      <w:r w:rsidRPr="00261C36">
        <w:rPr>
          <w:rFonts w:ascii="仿宋" w:eastAsia="仿宋" w:hAnsi="仿宋" w:cs="仿宋_GB2312" w:hint="eastAsia"/>
          <w:b/>
          <w:bCs/>
          <w:sz w:val="32"/>
          <w:szCs w:val="32"/>
        </w:rPr>
        <w:t>附则</w:t>
      </w:r>
    </w:p>
    <w:p w14:paraId="676F0819"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第二十三条 本办法由全体联秘书处负责解释和修订。</w:t>
      </w:r>
    </w:p>
    <w:p w14:paraId="2996948E" w14:textId="77777777" w:rsidR="0049469E" w:rsidRPr="00261C36" w:rsidRDefault="00000000">
      <w:pPr>
        <w:spacing w:line="440" w:lineRule="exact"/>
        <w:ind w:firstLineChars="200" w:firstLine="640"/>
        <w:rPr>
          <w:rFonts w:ascii="仿宋" w:eastAsia="仿宋" w:hAnsi="仿宋" w:cs="仿宋_GB2312"/>
          <w:sz w:val="32"/>
          <w:szCs w:val="32"/>
        </w:rPr>
      </w:pPr>
      <w:r w:rsidRPr="00261C36">
        <w:rPr>
          <w:rFonts w:ascii="仿宋" w:eastAsia="仿宋" w:hAnsi="仿宋" w:cs="仿宋_GB2312" w:hint="eastAsia"/>
          <w:sz w:val="32"/>
          <w:szCs w:val="32"/>
        </w:rPr>
        <w:t>第二十四条 本办法作为暂行条例自发布之日起施行。</w:t>
      </w:r>
    </w:p>
    <w:p w14:paraId="10CDCD87" w14:textId="77777777" w:rsidR="0049469E" w:rsidRDefault="00000000">
      <w:pPr>
        <w:spacing w:line="276" w:lineRule="auto"/>
        <w:rPr>
          <w:rFonts w:asciiTheme="majorEastAsia" w:eastAsiaTheme="majorEastAsia" w:hAnsiTheme="majorEastAsia"/>
          <w:b/>
          <w:bCs/>
          <w:szCs w:val="21"/>
        </w:rPr>
      </w:pPr>
      <w:r>
        <w:rPr>
          <w:rFonts w:asciiTheme="majorEastAsia" w:eastAsiaTheme="majorEastAsia" w:hAnsiTheme="majorEastAsia"/>
          <w:b/>
          <w:bCs/>
          <w:szCs w:val="21"/>
        </w:rPr>
        <w:br w:type="page"/>
      </w:r>
      <w:r>
        <w:rPr>
          <w:rFonts w:ascii="仿宋" w:eastAsia="仿宋" w:hAnsi="仿宋" w:hint="eastAsia"/>
          <w:color w:val="000000"/>
          <w:sz w:val="32"/>
          <w:szCs w:val="32"/>
        </w:rPr>
        <w:lastRenderedPageBreak/>
        <w:t>附件一：</w:t>
      </w:r>
    </w:p>
    <w:p w14:paraId="42526186" w14:textId="77777777" w:rsidR="0049469E" w:rsidRDefault="00000000">
      <w:pPr>
        <w:widowControl/>
        <w:spacing w:line="440" w:lineRule="exact"/>
        <w:jc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匹克球裁判员</w:t>
      </w:r>
      <w:proofErr w:type="gramEnd"/>
      <w:r>
        <w:rPr>
          <w:rFonts w:ascii="宋体" w:hAnsi="宋体" w:cs="宋体" w:hint="eastAsia"/>
          <w:b/>
          <w:bCs/>
          <w:color w:val="000000"/>
          <w:kern w:val="0"/>
          <w:sz w:val="28"/>
          <w:szCs w:val="28"/>
        </w:rPr>
        <w:t>注册申请表</w:t>
      </w:r>
    </w:p>
    <w:p w14:paraId="6D743555" w14:textId="77777777" w:rsidR="0049469E" w:rsidRDefault="0049469E">
      <w:pPr>
        <w:widowControl/>
        <w:spacing w:line="440" w:lineRule="exact"/>
        <w:rPr>
          <w:rFonts w:ascii="宋体" w:hAnsi="宋体" w:cs="宋体"/>
          <w:b/>
          <w:bCs/>
          <w:color w:val="000000"/>
          <w:kern w:val="0"/>
          <w:sz w:val="36"/>
          <w:szCs w:val="3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65"/>
        <w:gridCol w:w="424"/>
        <w:gridCol w:w="284"/>
        <w:gridCol w:w="570"/>
        <w:gridCol w:w="709"/>
        <w:gridCol w:w="711"/>
        <w:gridCol w:w="423"/>
        <w:gridCol w:w="711"/>
        <w:gridCol w:w="281"/>
        <w:gridCol w:w="142"/>
        <w:gridCol w:w="570"/>
        <w:gridCol w:w="708"/>
        <w:gridCol w:w="1134"/>
        <w:gridCol w:w="2127"/>
      </w:tblGrid>
      <w:tr w:rsidR="0049469E" w14:paraId="1E228CDA" w14:textId="77777777">
        <w:trPr>
          <w:trHeight w:val="621"/>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14:paraId="1E2EEE0D"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姓  名</w:t>
            </w:r>
          </w:p>
        </w:tc>
        <w:tc>
          <w:tcPr>
            <w:tcW w:w="1278" w:type="dxa"/>
            <w:gridSpan w:val="3"/>
            <w:tcBorders>
              <w:top w:val="single" w:sz="4" w:space="0" w:color="auto"/>
              <w:left w:val="single" w:sz="4" w:space="0" w:color="auto"/>
              <w:bottom w:val="single" w:sz="4" w:space="0" w:color="auto"/>
              <w:right w:val="single" w:sz="4" w:space="0" w:color="auto"/>
            </w:tcBorders>
          </w:tcPr>
          <w:p w14:paraId="096F190E" w14:textId="77777777" w:rsidR="0049469E" w:rsidRDefault="0049469E">
            <w:pPr>
              <w:widowControl/>
              <w:spacing w:afterLines="50" w:after="156" w:line="480" w:lineRule="exac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620E7A2"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性别</w:t>
            </w:r>
          </w:p>
        </w:tc>
        <w:tc>
          <w:tcPr>
            <w:tcW w:w="711" w:type="dxa"/>
            <w:tcBorders>
              <w:top w:val="single" w:sz="4" w:space="0" w:color="auto"/>
              <w:left w:val="single" w:sz="4" w:space="0" w:color="auto"/>
              <w:bottom w:val="single" w:sz="4" w:space="0" w:color="auto"/>
              <w:right w:val="single" w:sz="4" w:space="0" w:color="auto"/>
            </w:tcBorders>
          </w:tcPr>
          <w:p w14:paraId="3762F883" w14:textId="77777777" w:rsidR="0049469E" w:rsidRDefault="0049469E">
            <w:pPr>
              <w:widowControl/>
              <w:spacing w:afterLines="50" w:after="156" w:line="480" w:lineRule="exact"/>
              <w:rPr>
                <w:rFonts w:ascii="宋体" w:hAnsi="宋体" w:cs="宋体"/>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6AE47814"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政治面貌</w:t>
            </w:r>
          </w:p>
        </w:tc>
        <w:tc>
          <w:tcPr>
            <w:tcW w:w="993" w:type="dxa"/>
            <w:gridSpan w:val="3"/>
            <w:tcBorders>
              <w:top w:val="single" w:sz="4" w:space="0" w:color="auto"/>
              <w:left w:val="single" w:sz="4" w:space="0" w:color="auto"/>
              <w:bottom w:val="single" w:sz="4" w:space="0" w:color="auto"/>
              <w:right w:val="single" w:sz="4" w:space="0" w:color="auto"/>
            </w:tcBorders>
          </w:tcPr>
          <w:p w14:paraId="59DF83D6" w14:textId="77777777" w:rsidR="0049469E" w:rsidRDefault="0049469E">
            <w:pPr>
              <w:widowControl/>
              <w:spacing w:afterLines="50" w:after="156" w:line="480" w:lineRule="exact"/>
              <w:rPr>
                <w:rFonts w:ascii="宋体" w:hAnsi="宋体" w:cs="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tcPr>
          <w:p w14:paraId="6ED18A39"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民族</w:t>
            </w:r>
          </w:p>
        </w:tc>
        <w:tc>
          <w:tcPr>
            <w:tcW w:w="1133" w:type="dxa"/>
            <w:tcBorders>
              <w:top w:val="single" w:sz="4" w:space="0" w:color="auto"/>
              <w:left w:val="single" w:sz="4" w:space="0" w:color="auto"/>
              <w:bottom w:val="single" w:sz="4" w:space="0" w:color="auto"/>
              <w:right w:val="single" w:sz="4" w:space="0" w:color="auto"/>
            </w:tcBorders>
          </w:tcPr>
          <w:p w14:paraId="77B0929B" w14:textId="77777777" w:rsidR="0049469E" w:rsidRDefault="0049469E">
            <w:pPr>
              <w:widowControl/>
              <w:spacing w:afterLines="50" w:after="156" w:line="480" w:lineRule="exact"/>
              <w:rPr>
                <w:rFonts w:ascii="宋体" w:hAnsi="宋体" w:cs="宋体"/>
                <w:color w:val="000000"/>
                <w:kern w:val="0"/>
                <w:szCs w:val="21"/>
              </w:rPr>
            </w:pPr>
          </w:p>
        </w:tc>
        <w:tc>
          <w:tcPr>
            <w:tcW w:w="2127" w:type="dxa"/>
            <w:vMerge w:val="restart"/>
            <w:tcBorders>
              <w:top w:val="single" w:sz="4" w:space="0" w:color="auto"/>
              <w:left w:val="single" w:sz="4" w:space="0" w:color="auto"/>
              <w:right w:val="single" w:sz="4" w:space="0" w:color="auto"/>
            </w:tcBorders>
            <w:vAlign w:val="center"/>
          </w:tcPr>
          <w:p w14:paraId="4BF545B6" w14:textId="77777777" w:rsidR="0049469E" w:rsidRDefault="00000000">
            <w:pPr>
              <w:widowControl/>
              <w:spacing w:afterLines="50" w:after="156" w:line="480" w:lineRule="exact"/>
              <w:ind w:firstLineChars="400" w:firstLine="880"/>
              <w:jc w:val="left"/>
              <w:rPr>
                <w:rFonts w:ascii="宋体" w:hAnsi="宋体" w:cs="宋体"/>
                <w:color w:val="000000"/>
                <w:kern w:val="0"/>
                <w:sz w:val="22"/>
              </w:rPr>
            </w:pPr>
            <w:r>
              <w:rPr>
                <w:rFonts w:ascii="宋体" w:hAnsi="宋体" w:cs="宋体" w:hint="eastAsia"/>
                <w:color w:val="000000"/>
                <w:kern w:val="0"/>
                <w:sz w:val="22"/>
              </w:rPr>
              <w:t>照</w:t>
            </w:r>
          </w:p>
          <w:p w14:paraId="1B802545" w14:textId="77777777" w:rsidR="0049469E" w:rsidRDefault="00000000">
            <w:pPr>
              <w:widowControl/>
              <w:spacing w:afterLines="50" w:after="156" w:line="480" w:lineRule="exact"/>
              <w:ind w:firstLineChars="400" w:firstLine="880"/>
              <w:jc w:val="left"/>
              <w:rPr>
                <w:rFonts w:ascii="宋体" w:hAnsi="宋体" w:cs="宋体"/>
                <w:color w:val="000000"/>
                <w:kern w:val="0"/>
                <w:sz w:val="22"/>
              </w:rPr>
            </w:pPr>
            <w:r>
              <w:rPr>
                <w:rFonts w:ascii="宋体" w:hAnsi="宋体" w:cs="宋体" w:hint="eastAsia"/>
                <w:color w:val="000000"/>
                <w:kern w:val="0"/>
                <w:sz w:val="22"/>
              </w:rPr>
              <w:t>片</w:t>
            </w:r>
          </w:p>
        </w:tc>
      </w:tr>
      <w:tr w:rsidR="0049469E" w14:paraId="3A893E0C" w14:textId="77777777">
        <w:trPr>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14:paraId="2E82574C"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身份证号码</w:t>
            </w:r>
          </w:p>
        </w:tc>
        <w:tc>
          <w:tcPr>
            <w:tcW w:w="1987" w:type="dxa"/>
            <w:gridSpan w:val="4"/>
            <w:tcBorders>
              <w:top w:val="single" w:sz="4" w:space="0" w:color="auto"/>
              <w:left w:val="single" w:sz="4" w:space="0" w:color="auto"/>
              <w:bottom w:val="single" w:sz="4" w:space="0" w:color="auto"/>
              <w:right w:val="single" w:sz="4" w:space="0" w:color="auto"/>
            </w:tcBorders>
          </w:tcPr>
          <w:p w14:paraId="595BB8C1" w14:textId="77777777" w:rsidR="0049469E" w:rsidRDefault="0049469E">
            <w:pPr>
              <w:widowControl/>
              <w:spacing w:afterLines="50" w:after="156" w:line="480" w:lineRule="exact"/>
              <w:rPr>
                <w:rFonts w:ascii="宋体" w:hAnsi="宋体" w:cs="宋体"/>
                <w:color w:val="000000"/>
                <w:kern w:val="0"/>
                <w:szCs w:val="21"/>
              </w:rPr>
            </w:pPr>
          </w:p>
        </w:tc>
        <w:tc>
          <w:tcPr>
            <w:tcW w:w="1845" w:type="dxa"/>
            <w:gridSpan w:val="3"/>
            <w:tcBorders>
              <w:top w:val="single" w:sz="4" w:space="0" w:color="auto"/>
              <w:left w:val="single" w:sz="4" w:space="0" w:color="auto"/>
              <w:bottom w:val="single" w:sz="4" w:space="0" w:color="auto"/>
              <w:right w:val="single" w:sz="4" w:space="0" w:color="auto"/>
            </w:tcBorders>
          </w:tcPr>
          <w:p w14:paraId="2ECB9C28"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毕业院校及时间</w:t>
            </w:r>
          </w:p>
          <w:p w14:paraId="54326E6A" w14:textId="77777777" w:rsidR="0049469E" w:rsidRDefault="0049469E">
            <w:pPr>
              <w:rPr>
                <w:rFonts w:ascii="宋体" w:hAnsi="宋体" w:cs="宋体"/>
                <w:szCs w:val="21"/>
              </w:rPr>
            </w:pPr>
          </w:p>
        </w:tc>
        <w:tc>
          <w:tcPr>
            <w:tcW w:w="2834" w:type="dxa"/>
            <w:gridSpan w:val="5"/>
            <w:tcBorders>
              <w:top w:val="single" w:sz="4" w:space="0" w:color="auto"/>
              <w:left w:val="single" w:sz="4" w:space="0" w:color="auto"/>
              <w:bottom w:val="single" w:sz="4" w:space="0" w:color="auto"/>
              <w:right w:val="single" w:sz="4" w:space="0" w:color="auto"/>
            </w:tcBorders>
          </w:tcPr>
          <w:p w14:paraId="2DC2C814" w14:textId="77777777" w:rsidR="0049469E" w:rsidRDefault="0049469E">
            <w:pPr>
              <w:widowControl/>
              <w:spacing w:afterLines="50" w:after="156" w:line="480" w:lineRule="exact"/>
              <w:rPr>
                <w:rFonts w:ascii="宋体" w:hAnsi="宋体" w:cs="宋体"/>
                <w:color w:val="000000"/>
                <w:kern w:val="0"/>
                <w:szCs w:val="21"/>
              </w:rPr>
            </w:pPr>
          </w:p>
        </w:tc>
        <w:tc>
          <w:tcPr>
            <w:tcW w:w="2127" w:type="dxa"/>
            <w:vMerge/>
            <w:tcBorders>
              <w:left w:val="single" w:sz="4" w:space="0" w:color="auto"/>
              <w:right w:val="single" w:sz="4" w:space="0" w:color="auto"/>
            </w:tcBorders>
            <w:vAlign w:val="center"/>
          </w:tcPr>
          <w:p w14:paraId="24826C80" w14:textId="77777777" w:rsidR="0049469E" w:rsidRDefault="0049469E">
            <w:pPr>
              <w:spacing w:afterLines="50" w:after="156" w:line="480" w:lineRule="exact"/>
              <w:jc w:val="left"/>
              <w:rPr>
                <w:rFonts w:ascii="宋体" w:hAnsi="宋体" w:cs="宋体"/>
                <w:color w:val="000000"/>
                <w:kern w:val="0"/>
                <w:sz w:val="22"/>
              </w:rPr>
            </w:pPr>
          </w:p>
        </w:tc>
      </w:tr>
      <w:tr w:rsidR="0049469E" w14:paraId="5CCBC01F"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3E1E1A24"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专业</w:t>
            </w:r>
          </w:p>
        </w:tc>
        <w:tc>
          <w:tcPr>
            <w:tcW w:w="1273" w:type="dxa"/>
            <w:gridSpan w:val="3"/>
            <w:tcBorders>
              <w:top w:val="single" w:sz="4" w:space="0" w:color="auto"/>
              <w:left w:val="single" w:sz="4" w:space="0" w:color="auto"/>
              <w:bottom w:val="single" w:sz="4" w:space="0" w:color="auto"/>
              <w:right w:val="single" w:sz="4" w:space="0" w:color="auto"/>
            </w:tcBorders>
          </w:tcPr>
          <w:p w14:paraId="23DDB15E" w14:textId="77777777" w:rsidR="0049469E" w:rsidRDefault="0049469E">
            <w:pPr>
              <w:widowControl/>
              <w:spacing w:afterLines="50" w:after="156" w:line="480" w:lineRule="exact"/>
              <w:rPr>
                <w:rFonts w:ascii="宋体" w:hAnsi="宋体" w:cs="宋体"/>
                <w:color w:val="000000"/>
                <w:kern w:val="0"/>
                <w:szCs w:val="21"/>
              </w:rPr>
            </w:pPr>
          </w:p>
        </w:tc>
        <w:tc>
          <w:tcPr>
            <w:tcW w:w="1279" w:type="dxa"/>
            <w:gridSpan w:val="2"/>
            <w:tcBorders>
              <w:top w:val="single" w:sz="4" w:space="0" w:color="auto"/>
              <w:left w:val="single" w:sz="4" w:space="0" w:color="auto"/>
              <w:bottom w:val="single" w:sz="4" w:space="0" w:color="auto"/>
              <w:right w:val="single" w:sz="4" w:space="0" w:color="auto"/>
            </w:tcBorders>
          </w:tcPr>
          <w:p w14:paraId="0AEA3845"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学历/学位</w:t>
            </w:r>
          </w:p>
        </w:tc>
        <w:tc>
          <w:tcPr>
            <w:tcW w:w="1134" w:type="dxa"/>
            <w:gridSpan w:val="2"/>
            <w:tcBorders>
              <w:top w:val="single" w:sz="4" w:space="0" w:color="auto"/>
              <w:left w:val="single" w:sz="4" w:space="0" w:color="auto"/>
              <w:bottom w:val="single" w:sz="4" w:space="0" w:color="auto"/>
              <w:right w:val="single" w:sz="4" w:space="0" w:color="auto"/>
            </w:tcBorders>
          </w:tcPr>
          <w:p w14:paraId="567D6FBA" w14:textId="77777777" w:rsidR="0049469E" w:rsidRDefault="0049469E">
            <w:pPr>
              <w:widowControl/>
              <w:spacing w:afterLines="50" w:after="156" w:line="480" w:lineRule="exact"/>
              <w:rPr>
                <w:rFonts w:ascii="宋体" w:hAnsi="宋体" w:cs="宋体"/>
                <w:color w:val="000000"/>
                <w:kern w:val="0"/>
                <w:szCs w:val="21"/>
              </w:rPr>
            </w:pPr>
          </w:p>
        </w:tc>
        <w:tc>
          <w:tcPr>
            <w:tcW w:w="1134" w:type="dxa"/>
            <w:gridSpan w:val="3"/>
            <w:tcBorders>
              <w:top w:val="single" w:sz="4" w:space="0" w:color="auto"/>
              <w:left w:val="single" w:sz="4" w:space="0" w:color="auto"/>
              <w:bottom w:val="single" w:sz="4" w:space="0" w:color="auto"/>
              <w:right w:val="single" w:sz="4" w:space="0" w:color="auto"/>
            </w:tcBorders>
          </w:tcPr>
          <w:p w14:paraId="25342969"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工作单位</w:t>
            </w:r>
          </w:p>
        </w:tc>
        <w:tc>
          <w:tcPr>
            <w:tcW w:w="2411" w:type="dxa"/>
            <w:gridSpan w:val="3"/>
            <w:tcBorders>
              <w:top w:val="single" w:sz="4" w:space="0" w:color="auto"/>
              <w:left w:val="single" w:sz="4" w:space="0" w:color="auto"/>
              <w:bottom w:val="single" w:sz="4" w:space="0" w:color="auto"/>
              <w:right w:val="single" w:sz="4" w:space="0" w:color="auto"/>
            </w:tcBorders>
          </w:tcPr>
          <w:p w14:paraId="5D2557C4" w14:textId="77777777" w:rsidR="0049469E" w:rsidRDefault="0049469E">
            <w:pPr>
              <w:widowControl/>
              <w:spacing w:afterLines="50" w:after="156" w:line="480" w:lineRule="exact"/>
              <w:rPr>
                <w:rFonts w:ascii="宋体" w:hAnsi="宋体" w:cs="宋体"/>
                <w:color w:val="000000"/>
                <w:kern w:val="0"/>
                <w:szCs w:val="21"/>
              </w:rPr>
            </w:pPr>
          </w:p>
        </w:tc>
        <w:tc>
          <w:tcPr>
            <w:tcW w:w="2127" w:type="dxa"/>
            <w:vMerge/>
            <w:tcBorders>
              <w:left w:val="single" w:sz="4" w:space="0" w:color="auto"/>
              <w:right w:val="single" w:sz="4" w:space="0" w:color="auto"/>
            </w:tcBorders>
            <w:vAlign w:val="center"/>
          </w:tcPr>
          <w:p w14:paraId="7CA4E400" w14:textId="77777777" w:rsidR="0049469E" w:rsidRDefault="0049469E">
            <w:pPr>
              <w:widowControl/>
              <w:spacing w:afterLines="50" w:after="156" w:line="480" w:lineRule="exact"/>
              <w:jc w:val="left"/>
              <w:rPr>
                <w:rFonts w:ascii="宋体" w:hAnsi="宋体" w:cs="宋体"/>
                <w:color w:val="000000"/>
                <w:kern w:val="0"/>
                <w:sz w:val="22"/>
              </w:rPr>
            </w:pPr>
          </w:p>
        </w:tc>
      </w:tr>
      <w:tr w:rsidR="0049469E" w14:paraId="75D61AE8" w14:textId="77777777">
        <w:trPr>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14:paraId="0F96434D"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联系电话</w:t>
            </w:r>
          </w:p>
        </w:tc>
        <w:tc>
          <w:tcPr>
            <w:tcW w:w="1278" w:type="dxa"/>
            <w:gridSpan w:val="3"/>
            <w:tcBorders>
              <w:top w:val="single" w:sz="4" w:space="0" w:color="auto"/>
              <w:left w:val="single" w:sz="4" w:space="0" w:color="auto"/>
              <w:bottom w:val="single" w:sz="4" w:space="0" w:color="auto"/>
              <w:right w:val="single" w:sz="4" w:space="0" w:color="auto"/>
            </w:tcBorders>
          </w:tcPr>
          <w:p w14:paraId="12A092E1" w14:textId="77777777" w:rsidR="0049469E" w:rsidRDefault="0049469E">
            <w:pPr>
              <w:widowControl/>
              <w:spacing w:afterLines="50" w:after="156" w:line="480" w:lineRule="exact"/>
              <w:rPr>
                <w:rFonts w:ascii="宋体" w:hAnsi="宋体" w:cs="宋体"/>
                <w:color w:val="000000"/>
                <w:kern w:val="0"/>
                <w:szCs w:val="21"/>
              </w:rPr>
            </w:pPr>
          </w:p>
        </w:tc>
        <w:tc>
          <w:tcPr>
            <w:tcW w:w="1419" w:type="dxa"/>
            <w:gridSpan w:val="2"/>
            <w:tcBorders>
              <w:top w:val="single" w:sz="4" w:space="0" w:color="auto"/>
              <w:left w:val="single" w:sz="4" w:space="0" w:color="auto"/>
              <w:bottom w:val="single" w:sz="4" w:space="0" w:color="auto"/>
              <w:right w:val="single" w:sz="4" w:space="0" w:color="auto"/>
            </w:tcBorders>
          </w:tcPr>
          <w:p w14:paraId="352F742A"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电子邮箱</w:t>
            </w:r>
          </w:p>
        </w:tc>
        <w:tc>
          <w:tcPr>
            <w:tcW w:w="3969" w:type="dxa"/>
            <w:gridSpan w:val="7"/>
            <w:tcBorders>
              <w:top w:val="single" w:sz="4" w:space="0" w:color="auto"/>
              <w:left w:val="single" w:sz="4" w:space="0" w:color="auto"/>
              <w:bottom w:val="single" w:sz="4" w:space="0" w:color="auto"/>
              <w:right w:val="single" w:sz="4" w:space="0" w:color="auto"/>
            </w:tcBorders>
          </w:tcPr>
          <w:p w14:paraId="78885276"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2127" w:type="dxa"/>
            <w:vMerge/>
            <w:tcBorders>
              <w:left w:val="single" w:sz="4" w:space="0" w:color="auto"/>
              <w:bottom w:val="single" w:sz="4" w:space="0" w:color="auto"/>
              <w:right w:val="single" w:sz="4" w:space="0" w:color="auto"/>
            </w:tcBorders>
          </w:tcPr>
          <w:p w14:paraId="20D06597" w14:textId="77777777" w:rsidR="0049469E" w:rsidRDefault="0049469E">
            <w:pPr>
              <w:widowControl/>
              <w:spacing w:afterLines="50" w:after="156" w:line="480" w:lineRule="exact"/>
              <w:rPr>
                <w:rFonts w:ascii="宋体" w:hAnsi="宋体" w:cs="宋体"/>
                <w:color w:val="000000"/>
                <w:kern w:val="0"/>
                <w:szCs w:val="21"/>
              </w:rPr>
            </w:pPr>
          </w:p>
        </w:tc>
      </w:tr>
      <w:tr w:rsidR="0049469E" w14:paraId="6E74B865" w14:textId="77777777">
        <w:trPr>
          <w:jc w:val="center"/>
        </w:trPr>
        <w:tc>
          <w:tcPr>
            <w:tcW w:w="1691" w:type="dxa"/>
            <w:gridSpan w:val="3"/>
            <w:tcBorders>
              <w:top w:val="single" w:sz="4" w:space="0" w:color="auto"/>
              <w:left w:val="single" w:sz="4" w:space="0" w:color="auto"/>
              <w:bottom w:val="single" w:sz="4" w:space="0" w:color="auto"/>
              <w:right w:val="single" w:sz="4" w:space="0" w:color="auto"/>
            </w:tcBorders>
            <w:vAlign w:val="center"/>
          </w:tcPr>
          <w:p w14:paraId="31D33A4E"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通讯地址及邮编</w:t>
            </w:r>
          </w:p>
        </w:tc>
        <w:tc>
          <w:tcPr>
            <w:tcW w:w="8369" w:type="dxa"/>
            <w:gridSpan w:val="12"/>
            <w:tcBorders>
              <w:top w:val="single" w:sz="4" w:space="0" w:color="auto"/>
              <w:left w:val="single" w:sz="4" w:space="0" w:color="auto"/>
              <w:bottom w:val="single" w:sz="4" w:space="0" w:color="auto"/>
              <w:right w:val="single" w:sz="4" w:space="0" w:color="auto"/>
            </w:tcBorders>
          </w:tcPr>
          <w:p w14:paraId="0F709E47"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49469E" w14:paraId="58A36C1D" w14:textId="77777777">
        <w:trPr>
          <w:trHeight w:val="2022"/>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14:paraId="0ED2FA26" w14:textId="77777777" w:rsidR="0049469E" w:rsidRDefault="00000000">
            <w:pPr>
              <w:widowControl/>
              <w:spacing w:afterLines="50" w:after="156" w:line="480" w:lineRule="exact"/>
              <w:jc w:val="left"/>
              <w:rPr>
                <w:rFonts w:ascii="宋体" w:hAnsi="宋体" w:cs="宋体"/>
                <w:color w:val="000000"/>
                <w:kern w:val="0"/>
                <w:szCs w:val="21"/>
              </w:rPr>
            </w:pPr>
            <w:r>
              <w:rPr>
                <w:rFonts w:ascii="宋体" w:hAnsi="宋体" w:cs="宋体" w:hint="eastAsia"/>
                <w:color w:val="000000"/>
                <w:kern w:val="0"/>
                <w:szCs w:val="21"/>
              </w:rPr>
              <w:t>执裁经历</w:t>
            </w:r>
          </w:p>
          <w:p w14:paraId="4ED3363B" w14:textId="77777777" w:rsidR="0049469E" w:rsidRDefault="0049469E">
            <w:pPr>
              <w:widowControl/>
              <w:spacing w:afterLines="50" w:after="156" w:line="480" w:lineRule="exact"/>
              <w:jc w:val="left"/>
              <w:rPr>
                <w:rFonts w:ascii="宋体" w:hAnsi="宋体" w:cs="宋体"/>
                <w:color w:val="000000"/>
                <w:kern w:val="0"/>
                <w:szCs w:val="21"/>
              </w:rPr>
            </w:pPr>
          </w:p>
          <w:p w14:paraId="17D458A4" w14:textId="77777777" w:rsidR="0049469E" w:rsidRDefault="0049469E">
            <w:pPr>
              <w:widowControl/>
              <w:spacing w:afterLines="50" w:after="156" w:line="480" w:lineRule="exact"/>
              <w:jc w:val="left"/>
              <w:rPr>
                <w:rFonts w:ascii="宋体" w:hAnsi="宋体" w:cs="宋体"/>
                <w:color w:val="000000"/>
                <w:kern w:val="0"/>
                <w:szCs w:val="21"/>
              </w:rPr>
            </w:pPr>
          </w:p>
          <w:p w14:paraId="485951F0" w14:textId="77777777" w:rsidR="0049469E" w:rsidRDefault="0049469E">
            <w:pPr>
              <w:widowControl/>
              <w:spacing w:afterLines="50" w:after="156" w:line="480" w:lineRule="exact"/>
              <w:jc w:val="left"/>
              <w:rPr>
                <w:rFonts w:ascii="宋体" w:hAnsi="宋体" w:cs="宋体"/>
                <w:color w:val="000000"/>
                <w:kern w:val="0"/>
                <w:szCs w:val="21"/>
              </w:rPr>
            </w:pPr>
          </w:p>
          <w:p w14:paraId="25A92D2B" w14:textId="77777777" w:rsidR="0049469E" w:rsidRDefault="0049469E">
            <w:pPr>
              <w:widowControl/>
              <w:spacing w:afterLines="50" w:after="156" w:line="480" w:lineRule="exact"/>
              <w:jc w:val="left"/>
              <w:rPr>
                <w:rFonts w:ascii="宋体" w:hAnsi="宋体" w:cs="宋体"/>
                <w:color w:val="000000"/>
                <w:kern w:val="0"/>
                <w:szCs w:val="21"/>
              </w:rPr>
            </w:pPr>
          </w:p>
        </w:tc>
        <w:tc>
          <w:tcPr>
            <w:tcW w:w="8793" w:type="dxa"/>
            <w:gridSpan w:val="13"/>
            <w:tcBorders>
              <w:top w:val="single" w:sz="4" w:space="0" w:color="auto"/>
              <w:left w:val="single" w:sz="4" w:space="0" w:color="auto"/>
              <w:bottom w:val="single" w:sz="4" w:space="0" w:color="auto"/>
              <w:right w:val="single" w:sz="4" w:space="0" w:color="auto"/>
            </w:tcBorders>
          </w:tcPr>
          <w:p w14:paraId="6636A150" w14:textId="77777777" w:rsidR="0049469E" w:rsidRDefault="0049469E">
            <w:pPr>
              <w:widowControl/>
              <w:spacing w:afterLines="50" w:after="156" w:line="480" w:lineRule="exact"/>
              <w:jc w:val="center"/>
              <w:rPr>
                <w:rFonts w:ascii="宋体" w:hAnsi="宋体" w:cs="宋体"/>
                <w:color w:val="000000"/>
                <w:kern w:val="0"/>
                <w:szCs w:val="21"/>
              </w:rPr>
            </w:pPr>
          </w:p>
          <w:p w14:paraId="58D759F8" w14:textId="77777777" w:rsidR="0049469E" w:rsidRDefault="0049469E">
            <w:pPr>
              <w:widowControl/>
              <w:spacing w:afterLines="50" w:after="156" w:line="480" w:lineRule="exact"/>
              <w:jc w:val="center"/>
              <w:rPr>
                <w:rFonts w:ascii="宋体" w:hAnsi="宋体" w:cs="宋体"/>
                <w:color w:val="000000"/>
                <w:kern w:val="0"/>
                <w:szCs w:val="21"/>
              </w:rPr>
            </w:pPr>
          </w:p>
        </w:tc>
      </w:tr>
      <w:tr w:rsidR="0049469E" w14:paraId="7C25E42C" w14:textId="77777777">
        <w:trPr>
          <w:trHeight w:val="1169"/>
          <w:jc w:val="center"/>
        </w:trPr>
        <w:tc>
          <w:tcPr>
            <w:tcW w:w="10060" w:type="dxa"/>
            <w:gridSpan w:val="15"/>
            <w:tcBorders>
              <w:top w:val="single" w:sz="4" w:space="0" w:color="auto"/>
              <w:left w:val="single" w:sz="4" w:space="0" w:color="auto"/>
              <w:bottom w:val="single" w:sz="4" w:space="0" w:color="auto"/>
              <w:right w:val="single" w:sz="4" w:space="0" w:color="auto"/>
            </w:tcBorders>
            <w:vAlign w:val="center"/>
          </w:tcPr>
          <w:p w14:paraId="10777964" w14:textId="77777777" w:rsidR="0049469E" w:rsidRDefault="00000000">
            <w:pPr>
              <w:widowControl/>
              <w:spacing w:afterLines="50" w:after="156" w:line="480" w:lineRule="exact"/>
              <w:jc w:val="left"/>
              <w:rPr>
                <w:rFonts w:ascii="宋体" w:hAnsi="宋体" w:cs="宋体"/>
                <w:color w:val="000000"/>
                <w:kern w:val="0"/>
                <w:szCs w:val="21"/>
              </w:rPr>
            </w:pPr>
            <w:r>
              <w:rPr>
                <w:rFonts w:ascii="宋体" w:hAnsi="宋体" w:cs="宋体" w:hint="eastAsia"/>
                <w:color w:val="000000"/>
                <w:kern w:val="0"/>
                <w:szCs w:val="21"/>
              </w:rPr>
              <w:t xml:space="preserve">     本人保证以上信息真实、准确，并愿意承担由于以上信息虚假带来的一切法律责任和后果。</w:t>
            </w:r>
          </w:p>
          <w:p w14:paraId="5278B789" w14:textId="77777777" w:rsidR="0049469E" w:rsidRDefault="00000000">
            <w:pPr>
              <w:widowControl/>
              <w:spacing w:afterLines="50" w:after="156" w:line="480" w:lineRule="exact"/>
              <w:jc w:val="left"/>
              <w:rPr>
                <w:rFonts w:ascii="宋体" w:hAnsi="宋体" w:cs="宋体"/>
                <w:color w:val="000000"/>
                <w:kern w:val="0"/>
                <w:szCs w:val="21"/>
              </w:rPr>
            </w:pPr>
            <w:r>
              <w:rPr>
                <w:rFonts w:ascii="宋体" w:hAnsi="宋体" w:cs="宋体" w:hint="eastAsia"/>
                <w:color w:val="000000"/>
                <w:kern w:val="0"/>
                <w:szCs w:val="21"/>
              </w:rPr>
              <w:t xml:space="preserve">申请人签名： </w:t>
            </w:r>
            <w:r>
              <w:rPr>
                <w:rFonts w:ascii="宋体" w:hAnsi="宋体" w:cs="宋体"/>
                <w:color w:val="000000"/>
                <w:kern w:val="0"/>
                <w:szCs w:val="21"/>
              </w:rPr>
              <w:t xml:space="preserve">                                                     </w:t>
            </w:r>
            <w:r>
              <w:rPr>
                <w:rFonts w:ascii="宋体" w:hAnsi="宋体" w:cs="宋体" w:hint="eastAsia"/>
                <w:color w:val="000000"/>
                <w:kern w:val="0"/>
                <w:szCs w:val="21"/>
              </w:rPr>
              <w:t xml:space="preserve">年 </w:t>
            </w:r>
            <w:r>
              <w:rPr>
                <w:rFonts w:ascii="宋体" w:hAnsi="宋体" w:cs="宋体"/>
                <w:color w:val="000000"/>
                <w:kern w:val="0"/>
                <w:szCs w:val="21"/>
              </w:rPr>
              <w:t xml:space="preserve">      </w:t>
            </w:r>
            <w:r>
              <w:rPr>
                <w:rFonts w:ascii="宋体" w:hAnsi="宋体" w:cs="宋体" w:hint="eastAsia"/>
                <w:color w:val="000000"/>
                <w:kern w:val="0"/>
                <w:szCs w:val="21"/>
              </w:rPr>
              <w:t xml:space="preserve">月 </w:t>
            </w:r>
            <w:r>
              <w:rPr>
                <w:rFonts w:ascii="宋体" w:hAnsi="宋体" w:cs="宋体"/>
                <w:color w:val="000000"/>
                <w:kern w:val="0"/>
                <w:szCs w:val="21"/>
              </w:rPr>
              <w:t xml:space="preserve">     </w:t>
            </w:r>
            <w:r>
              <w:rPr>
                <w:rFonts w:ascii="宋体" w:hAnsi="宋体" w:cs="宋体" w:hint="eastAsia"/>
                <w:color w:val="000000"/>
                <w:kern w:val="0"/>
                <w:szCs w:val="21"/>
              </w:rPr>
              <w:t>日</w:t>
            </w:r>
          </w:p>
        </w:tc>
      </w:tr>
      <w:tr w:rsidR="0049469E" w14:paraId="7365C67B" w14:textId="77777777">
        <w:trPr>
          <w:trHeight w:val="3613"/>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14:paraId="54AF7148"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裁判员所在单位意见</w:t>
            </w:r>
          </w:p>
        </w:tc>
        <w:tc>
          <w:tcPr>
            <w:tcW w:w="2698" w:type="dxa"/>
            <w:gridSpan w:val="5"/>
            <w:tcBorders>
              <w:top w:val="single" w:sz="4" w:space="0" w:color="auto"/>
              <w:left w:val="single" w:sz="4" w:space="0" w:color="auto"/>
              <w:bottom w:val="single" w:sz="4" w:space="0" w:color="auto"/>
              <w:right w:val="single" w:sz="4" w:space="0" w:color="auto"/>
            </w:tcBorders>
          </w:tcPr>
          <w:p w14:paraId="6999B663" w14:textId="77777777" w:rsidR="0049469E" w:rsidRDefault="00000000">
            <w:pPr>
              <w:widowControl/>
              <w:tabs>
                <w:tab w:val="left" w:pos="789"/>
              </w:tabs>
              <w:spacing w:afterLines="50" w:after="156" w:line="480" w:lineRule="exact"/>
              <w:rPr>
                <w:rFonts w:ascii="宋体" w:hAnsi="宋体" w:cs="宋体"/>
                <w:color w:val="000000"/>
                <w:kern w:val="0"/>
                <w:szCs w:val="21"/>
              </w:rPr>
            </w:pPr>
            <w:r>
              <w:rPr>
                <w:rFonts w:ascii="宋体" w:hAnsi="宋体" w:cs="宋体"/>
                <w:color w:val="000000"/>
                <w:kern w:val="0"/>
                <w:szCs w:val="21"/>
              </w:rPr>
              <w:tab/>
            </w:r>
          </w:p>
          <w:p w14:paraId="48F6EEFF" w14:textId="77777777" w:rsidR="0049469E" w:rsidRDefault="0049469E">
            <w:pPr>
              <w:widowControl/>
              <w:spacing w:afterLines="50" w:after="156" w:line="480" w:lineRule="exact"/>
              <w:rPr>
                <w:rFonts w:ascii="宋体" w:hAnsi="宋体" w:cs="宋体"/>
                <w:color w:val="000000"/>
                <w:kern w:val="0"/>
                <w:szCs w:val="21"/>
              </w:rPr>
            </w:pPr>
          </w:p>
          <w:p w14:paraId="443B9037" w14:textId="77777777" w:rsidR="0049469E" w:rsidRDefault="0049469E">
            <w:pPr>
              <w:widowControl/>
              <w:spacing w:afterLines="50" w:after="156" w:line="480" w:lineRule="exact"/>
              <w:rPr>
                <w:rFonts w:ascii="宋体" w:hAnsi="宋体" w:cs="宋体"/>
                <w:color w:val="000000"/>
                <w:kern w:val="0"/>
                <w:szCs w:val="21"/>
              </w:rPr>
            </w:pPr>
          </w:p>
          <w:p w14:paraId="3C18772E" w14:textId="77777777" w:rsidR="0049469E" w:rsidRDefault="0049469E">
            <w:pPr>
              <w:widowControl/>
              <w:spacing w:afterLines="50" w:after="156" w:line="480" w:lineRule="exact"/>
              <w:rPr>
                <w:rFonts w:ascii="宋体" w:hAnsi="宋体" w:cs="宋体"/>
                <w:color w:val="000000"/>
                <w:kern w:val="0"/>
                <w:szCs w:val="21"/>
              </w:rPr>
            </w:pPr>
          </w:p>
          <w:p w14:paraId="11A0FA74"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经办人（签名盖章）：</w:t>
            </w:r>
          </w:p>
          <w:p w14:paraId="67B4E657" w14:textId="77777777" w:rsidR="0049469E" w:rsidRDefault="00000000">
            <w:pPr>
              <w:widowControl/>
              <w:spacing w:afterLines="50" w:after="156" w:line="480" w:lineRule="exac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 xml:space="preserve">年 </w:t>
            </w:r>
            <w:r>
              <w:rPr>
                <w:rFonts w:ascii="宋体" w:hAnsi="宋体" w:cs="宋体"/>
                <w:color w:val="000000"/>
                <w:kern w:val="0"/>
                <w:szCs w:val="21"/>
              </w:rPr>
              <w:t xml:space="preserve">   </w:t>
            </w:r>
            <w:r>
              <w:rPr>
                <w:rFonts w:ascii="宋体" w:hAnsi="宋体" w:cs="宋体" w:hint="eastAsia"/>
                <w:color w:val="000000"/>
                <w:kern w:val="0"/>
                <w:szCs w:val="21"/>
              </w:rPr>
              <w:t xml:space="preserve">月 </w:t>
            </w:r>
            <w:r>
              <w:rPr>
                <w:rFonts w:ascii="宋体" w:hAnsi="宋体" w:cs="宋体"/>
                <w:color w:val="000000"/>
                <w:kern w:val="0"/>
                <w:szCs w:val="21"/>
              </w:rPr>
              <w:t xml:space="preserve">    </w:t>
            </w:r>
            <w:r>
              <w:rPr>
                <w:rFonts w:ascii="宋体" w:hAnsi="宋体" w:cs="宋体" w:hint="eastAsia"/>
                <w:color w:val="000000"/>
                <w:kern w:val="0"/>
                <w:szCs w:val="21"/>
              </w:rPr>
              <w:t>日</w:t>
            </w:r>
          </w:p>
          <w:p w14:paraId="21F58C45" w14:textId="77777777" w:rsidR="0049469E" w:rsidRDefault="0049469E">
            <w:pPr>
              <w:widowControl/>
              <w:spacing w:afterLines="50" w:after="156" w:line="480" w:lineRule="exact"/>
              <w:jc w:val="center"/>
              <w:rPr>
                <w:rFonts w:ascii="宋体" w:hAnsi="宋体" w:cs="宋体"/>
                <w:b/>
                <w:color w:val="000000"/>
                <w:kern w:val="0"/>
                <w:szCs w:val="21"/>
              </w:rPr>
            </w:pPr>
          </w:p>
        </w:tc>
        <w:tc>
          <w:tcPr>
            <w:tcW w:w="1415" w:type="dxa"/>
            <w:gridSpan w:val="3"/>
            <w:tcBorders>
              <w:top w:val="single" w:sz="4" w:space="0" w:color="auto"/>
              <w:left w:val="single" w:sz="4" w:space="0" w:color="auto"/>
              <w:bottom w:val="single" w:sz="4" w:space="0" w:color="auto"/>
              <w:right w:val="single" w:sz="4" w:space="0" w:color="auto"/>
            </w:tcBorders>
          </w:tcPr>
          <w:p w14:paraId="641305C9" w14:textId="77777777" w:rsidR="0049469E" w:rsidRDefault="0049469E">
            <w:pPr>
              <w:widowControl/>
              <w:spacing w:afterLines="50" w:after="156" w:line="480" w:lineRule="exact"/>
              <w:jc w:val="center"/>
              <w:rPr>
                <w:rFonts w:ascii="宋体" w:hAnsi="宋体" w:cs="宋体"/>
                <w:color w:val="000000"/>
                <w:kern w:val="0"/>
                <w:szCs w:val="21"/>
              </w:rPr>
            </w:pPr>
          </w:p>
          <w:p w14:paraId="48D1DE3D" w14:textId="77777777" w:rsidR="0049469E" w:rsidRDefault="0049469E">
            <w:pPr>
              <w:widowControl/>
              <w:spacing w:afterLines="50" w:after="156" w:line="480" w:lineRule="exact"/>
              <w:jc w:val="center"/>
              <w:rPr>
                <w:rFonts w:ascii="宋体" w:hAnsi="宋体" w:cs="宋体"/>
                <w:color w:val="000000"/>
                <w:kern w:val="0"/>
                <w:szCs w:val="21"/>
              </w:rPr>
            </w:pPr>
          </w:p>
          <w:p w14:paraId="3647AB6B" w14:textId="77777777" w:rsidR="0049469E" w:rsidRDefault="00000000">
            <w:pPr>
              <w:widowControl/>
              <w:spacing w:afterLines="50" w:after="156" w:line="480" w:lineRule="exact"/>
              <w:jc w:val="center"/>
              <w:rPr>
                <w:rFonts w:ascii="宋体" w:hAnsi="宋体" w:cs="宋体"/>
                <w:color w:val="000000"/>
                <w:kern w:val="0"/>
                <w:szCs w:val="21"/>
              </w:rPr>
            </w:pPr>
            <w:r>
              <w:rPr>
                <w:rFonts w:ascii="宋体" w:hAnsi="宋体" w:cs="宋体" w:hint="eastAsia"/>
                <w:color w:val="000000"/>
                <w:kern w:val="0"/>
                <w:szCs w:val="21"/>
              </w:rPr>
              <w:t>全国体育运动学校联合会意见</w:t>
            </w:r>
          </w:p>
          <w:p w14:paraId="7687F8DE" w14:textId="77777777" w:rsidR="0049469E" w:rsidRDefault="0049469E">
            <w:pPr>
              <w:widowControl/>
              <w:spacing w:afterLines="50" w:after="156" w:line="480" w:lineRule="exact"/>
              <w:jc w:val="center"/>
              <w:rPr>
                <w:rFonts w:ascii="宋体" w:hAnsi="宋体" w:cs="宋体"/>
                <w:b/>
                <w:color w:val="000000"/>
                <w:kern w:val="0"/>
                <w:szCs w:val="21"/>
              </w:rPr>
            </w:pPr>
          </w:p>
        </w:tc>
        <w:tc>
          <w:tcPr>
            <w:tcW w:w="4680" w:type="dxa"/>
            <w:gridSpan w:val="5"/>
            <w:tcBorders>
              <w:top w:val="single" w:sz="4" w:space="0" w:color="auto"/>
              <w:left w:val="single" w:sz="4" w:space="0" w:color="auto"/>
              <w:bottom w:val="single" w:sz="4" w:space="0" w:color="auto"/>
              <w:right w:val="single" w:sz="4" w:space="0" w:color="auto"/>
            </w:tcBorders>
          </w:tcPr>
          <w:p w14:paraId="5963440C" w14:textId="77777777" w:rsidR="0049469E" w:rsidRDefault="00000000">
            <w:pPr>
              <w:widowControl/>
              <w:spacing w:afterLines="50" w:after="156" w:line="480" w:lineRule="exact"/>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p>
          <w:p w14:paraId="503673AC" w14:textId="77777777" w:rsidR="0049469E" w:rsidRDefault="0049469E">
            <w:pPr>
              <w:widowControl/>
              <w:spacing w:afterLines="50" w:after="156" w:line="480" w:lineRule="exact"/>
              <w:rPr>
                <w:rFonts w:ascii="宋体" w:hAnsi="宋体" w:cs="宋体"/>
                <w:bCs/>
                <w:color w:val="000000"/>
                <w:kern w:val="0"/>
                <w:szCs w:val="21"/>
              </w:rPr>
            </w:pPr>
          </w:p>
          <w:p w14:paraId="54007C3A" w14:textId="77777777" w:rsidR="0049469E" w:rsidRDefault="0049469E">
            <w:pPr>
              <w:widowControl/>
              <w:spacing w:afterLines="50" w:after="156" w:line="480" w:lineRule="exact"/>
              <w:rPr>
                <w:rFonts w:ascii="宋体" w:hAnsi="宋体" w:cs="宋体"/>
                <w:bCs/>
                <w:color w:val="000000"/>
                <w:kern w:val="0"/>
                <w:szCs w:val="21"/>
              </w:rPr>
            </w:pPr>
          </w:p>
          <w:p w14:paraId="31AAA8BE" w14:textId="77777777" w:rsidR="0049469E" w:rsidRDefault="0049469E">
            <w:pPr>
              <w:widowControl/>
              <w:spacing w:afterLines="50" w:after="156" w:line="480" w:lineRule="exact"/>
              <w:rPr>
                <w:rFonts w:ascii="宋体" w:hAnsi="宋体" w:cs="宋体"/>
                <w:bCs/>
                <w:color w:val="000000"/>
                <w:kern w:val="0"/>
                <w:szCs w:val="21"/>
              </w:rPr>
            </w:pPr>
          </w:p>
          <w:p w14:paraId="7B185B89" w14:textId="77777777" w:rsidR="0049469E" w:rsidRDefault="00000000">
            <w:pPr>
              <w:widowControl/>
              <w:spacing w:afterLines="50" w:after="156" w:line="480" w:lineRule="exact"/>
              <w:rPr>
                <w:rFonts w:ascii="宋体" w:hAnsi="宋体" w:cs="宋体"/>
                <w:bCs/>
                <w:color w:val="000000"/>
                <w:kern w:val="0"/>
                <w:szCs w:val="21"/>
              </w:rPr>
            </w:pPr>
            <w:r>
              <w:rPr>
                <w:rFonts w:ascii="宋体" w:hAnsi="宋体" w:cs="宋体" w:hint="eastAsia"/>
                <w:bCs/>
                <w:color w:val="000000"/>
                <w:kern w:val="0"/>
                <w:szCs w:val="21"/>
              </w:rPr>
              <w:t>签名盖章：</w:t>
            </w:r>
          </w:p>
          <w:p w14:paraId="707C80CA" w14:textId="77777777" w:rsidR="0049469E" w:rsidRDefault="00000000">
            <w:pPr>
              <w:widowControl/>
              <w:spacing w:afterLines="50" w:after="156" w:line="480" w:lineRule="exact"/>
              <w:rPr>
                <w:rFonts w:ascii="宋体" w:hAnsi="宋体" w:cs="宋体"/>
                <w:bCs/>
                <w:color w:val="000000"/>
                <w:kern w:val="0"/>
                <w:szCs w:val="21"/>
              </w:rPr>
            </w:pPr>
            <w:r>
              <w:rPr>
                <w:rFonts w:ascii="宋体" w:hAnsi="宋体" w:cs="宋体" w:hint="eastAsia"/>
                <w:bCs/>
                <w:color w:val="000000"/>
                <w:kern w:val="0"/>
                <w:szCs w:val="21"/>
              </w:rPr>
              <w:t xml:space="preserve"> </w:t>
            </w:r>
            <w:r>
              <w:rPr>
                <w:rFonts w:ascii="宋体" w:hAnsi="宋体" w:cs="宋体"/>
                <w:bCs/>
                <w:color w:val="000000"/>
                <w:kern w:val="0"/>
                <w:szCs w:val="21"/>
              </w:rPr>
              <w:t xml:space="preserve">                   </w:t>
            </w:r>
            <w:r>
              <w:rPr>
                <w:rFonts w:ascii="宋体" w:hAnsi="宋体" w:cs="宋体" w:hint="eastAsia"/>
                <w:bCs/>
                <w:color w:val="000000"/>
                <w:kern w:val="0"/>
                <w:szCs w:val="21"/>
              </w:rPr>
              <w:t xml:space="preserve">年 </w:t>
            </w:r>
            <w:r>
              <w:rPr>
                <w:rFonts w:ascii="宋体" w:hAnsi="宋体" w:cs="宋体"/>
                <w:bCs/>
                <w:color w:val="000000"/>
                <w:kern w:val="0"/>
                <w:szCs w:val="21"/>
              </w:rPr>
              <w:t xml:space="preserve">    </w:t>
            </w:r>
            <w:r>
              <w:rPr>
                <w:rFonts w:ascii="宋体" w:hAnsi="宋体" w:cs="宋体" w:hint="eastAsia"/>
                <w:bCs/>
                <w:color w:val="000000"/>
                <w:kern w:val="0"/>
                <w:szCs w:val="21"/>
              </w:rPr>
              <w:t xml:space="preserve">月 </w:t>
            </w:r>
            <w:r>
              <w:rPr>
                <w:rFonts w:ascii="宋体" w:hAnsi="宋体" w:cs="宋体"/>
                <w:bCs/>
                <w:color w:val="000000"/>
                <w:kern w:val="0"/>
                <w:szCs w:val="21"/>
              </w:rPr>
              <w:t xml:space="preserve">    </w:t>
            </w:r>
            <w:r>
              <w:rPr>
                <w:rFonts w:ascii="宋体" w:hAnsi="宋体" w:cs="宋体" w:hint="eastAsia"/>
                <w:bCs/>
                <w:color w:val="000000"/>
                <w:kern w:val="0"/>
                <w:szCs w:val="21"/>
              </w:rPr>
              <w:t>日</w:t>
            </w:r>
          </w:p>
        </w:tc>
      </w:tr>
    </w:tbl>
    <w:p w14:paraId="227C5BB0" w14:textId="77777777" w:rsidR="0049469E" w:rsidRDefault="0049469E">
      <w:pPr>
        <w:spacing w:line="276" w:lineRule="auto"/>
        <w:rPr>
          <w:rFonts w:asciiTheme="majorEastAsia" w:eastAsiaTheme="majorEastAsia" w:hAnsiTheme="majorEastAsia"/>
          <w:sz w:val="28"/>
          <w:szCs w:val="28"/>
        </w:rPr>
      </w:pPr>
    </w:p>
    <w:sectPr w:rsidR="0049469E">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FFE"/>
    <w:multiLevelType w:val="multilevel"/>
    <w:tmpl w:val="0FA60FFE"/>
    <w:lvl w:ilvl="0">
      <w:start w:val="1"/>
      <w:numFmt w:val="japaneseCounting"/>
      <w:lvlText w:val="（%1）"/>
      <w:lvlJc w:val="left"/>
      <w:pPr>
        <w:ind w:left="1999" w:hanging="864"/>
      </w:pPr>
      <w:rPr>
        <w:rFonts w:hint="default"/>
        <w:lang w:val="en-US"/>
      </w:rPr>
    </w:lvl>
    <w:lvl w:ilvl="1">
      <w:start w:val="1"/>
      <w:numFmt w:val="japaneseCounting"/>
      <w:lvlText w:val="（%2）"/>
      <w:lvlJc w:val="left"/>
      <w:pPr>
        <w:ind w:left="2428" w:hanging="864"/>
      </w:pPr>
      <w:rPr>
        <w:rFonts w:hint="default"/>
      </w:rPr>
    </w:lvl>
    <w:lvl w:ilvl="2">
      <w:start w:val="1"/>
      <w:numFmt w:val="lowerRoman"/>
      <w:lvlText w:val="%3."/>
      <w:lvlJc w:val="right"/>
      <w:pPr>
        <w:ind w:left="2404" w:hanging="420"/>
      </w:pPr>
    </w:lvl>
    <w:lvl w:ilvl="3">
      <w:start w:val="1"/>
      <w:numFmt w:val="decimal"/>
      <w:lvlText w:val="%4."/>
      <w:lvlJc w:val="left"/>
      <w:pPr>
        <w:ind w:left="2824" w:hanging="420"/>
      </w:pPr>
    </w:lvl>
    <w:lvl w:ilvl="4">
      <w:start w:val="1"/>
      <w:numFmt w:val="lowerLetter"/>
      <w:lvlText w:val="%5)"/>
      <w:lvlJc w:val="left"/>
      <w:pPr>
        <w:ind w:left="3244" w:hanging="420"/>
      </w:pPr>
    </w:lvl>
    <w:lvl w:ilvl="5">
      <w:start w:val="1"/>
      <w:numFmt w:val="lowerRoman"/>
      <w:lvlText w:val="%6."/>
      <w:lvlJc w:val="right"/>
      <w:pPr>
        <w:ind w:left="3664" w:hanging="420"/>
      </w:pPr>
    </w:lvl>
    <w:lvl w:ilvl="6">
      <w:start w:val="1"/>
      <w:numFmt w:val="decimal"/>
      <w:lvlText w:val="%7."/>
      <w:lvlJc w:val="left"/>
      <w:pPr>
        <w:ind w:left="4084" w:hanging="420"/>
      </w:pPr>
    </w:lvl>
    <w:lvl w:ilvl="7">
      <w:start w:val="1"/>
      <w:numFmt w:val="lowerLetter"/>
      <w:lvlText w:val="%8)"/>
      <w:lvlJc w:val="left"/>
      <w:pPr>
        <w:ind w:left="4504" w:hanging="420"/>
      </w:pPr>
    </w:lvl>
    <w:lvl w:ilvl="8">
      <w:start w:val="1"/>
      <w:numFmt w:val="lowerRoman"/>
      <w:lvlText w:val="%9."/>
      <w:lvlJc w:val="right"/>
      <w:pPr>
        <w:ind w:left="4924" w:hanging="420"/>
      </w:pPr>
    </w:lvl>
  </w:abstractNum>
  <w:abstractNum w:abstractNumId="1" w15:restartNumberingAfterBreak="0">
    <w:nsid w:val="2C6E3651"/>
    <w:multiLevelType w:val="multilevel"/>
    <w:tmpl w:val="2C6E3651"/>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C4033C"/>
    <w:multiLevelType w:val="multilevel"/>
    <w:tmpl w:val="38C4033C"/>
    <w:lvl w:ilvl="0">
      <w:start w:val="1"/>
      <w:numFmt w:val="japaneseCounting"/>
      <w:lvlText w:val="第%1章"/>
      <w:lvlJc w:val="left"/>
      <w:pPr>
        <w:ind w:left="4946" w:hanging="1260"/>
      </w:pPr>
      <w:rPr>
        <w:rFonts w:hint="default"/>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3" w15:restartNumberingAfterBreak="0">
    <w:nsid w:val="5A6062D1"/>
    <w:multiLevelType w:val="multilevel"/>
    <w:tmpl w:val="5A6062D1"/>
    <w:lvl w:ilvl="0">
      <w:start w:val="1"/>
      <w:numFmt w:val="japaneseCounting"/>
      <w:lvlText w:val="（%1）"/>
      <w:lvlJc w:val="left"/>
      <w:pPr>
        <w:ind w:left="1144" w:hanging="720"/>
      </w:pPr>
      <w:rPr>
        <w:rFonts w:hint="default"/>
        <w:lang w:val="en-US"/>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15:restartNumberingAfterBreak="0">
    <w:nsid w:val="6FDC12C0"/>
    <w:multiLevelType w:val="multilevel"/>
    <w:tmpl w:val="6FDC12C0"/>
    <w:lvl w:ilvl="0">
      <w:start w:val="1"/>
      <w:numFmt w:val="japaneseCounting"/>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15:restartNumberingAfterBreak="0">
    <w:nsid w:val="751617FA"/>
    <w:multiLevelType w:val="multilevel"/>
    <w:tmpl w:val="751617FA"/>
    <w:lvl w:ilvl="0">
      <w:start w:val="1"/>
      <w:numFmt w:val="japaneseCounting"/>
      <w:lvlText w:val="（%1）"/>
      <w:lvlJc w:val="left"/>
      <w:pPr>
        <w:ind w:left="1287" w:hanging="720"/>
      </w:pPr>
      <w:rPr>
        <w:rFonts w:hint="default"/>
      </w:rPr>
    </w:lvl>
    <w:lvl w:ilvl="1">
      <w:start w:val="1"/>
      <w:numFmt w:val="japaneseCounting"/>
      <w:lvlText w:val="（%2）"/>
      <w:lvlJc w:val="left"/>
      <w:pPr>
        <w:ind w:left="1851" w:hanging="864"/>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630672052">
    <w:abstractNumId w:val="2"/>
  </w:num>
  <w:num w:numId="2" w16cid:durableId="2082635511">
    <w:abstractNumId w:val="1"/>
  </w:num>
  <w:num w:numId="3" w16cid:durableId="2085638160">
    <w:abstractNumId w:val="0"/>
  </w:num>
  <w:num w:numId="4" w16cid:durableId="1584028890">
    <w:abstractNumId w:val="3"/>
  </w:num>
  <w:num w:numId="5" w16cid:durableId="2104913923">
    <w:abstractNumId w:val="5"/>
  </w:num>
  <w:num w:numId="6" w16cid:durableId="205634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yZjkwYjBlZTYwN2M0YWIyMDQ2ZGE5ZDRlMGYyMDEifQ=="/>
  </w:docVars>
  <w:rsids>
    <w:rsidRoot w:val="00CC7A54"/>
    <w:rsid w:val="CFFD0D14"/>
    <w:rsid w:val="D5EEEE9E"/>
    <w:rsid w:val="FFB72CB6"/>
    <w:rsid w:val="FFEDFBEA"/>
    <w:rsid w:val="00011F5A"/>
    <w:rsid w:val="00051911"/>
    <w:rsid w:val="00110A69"/>
    <w:rsid w:val="00145129"/>
    <w:rsid w:val="00154CE9"/>
    <w:rsid w:val="001736E0"/>
    <w:rsid w:val="00183505"/>
    <w:rsid w:val="00183C0C"/>
    <w:rsid w:val="0019544E"/>
    <w:rsid w:val="001B13A9"/>
    <w:rsid w:val="001D18B1"/>
    <w:rsid w:val="001D31E8"/>
    <w:rsid w:val="00210C28"/>
    <w:rsid w:val="002348E6"/>
    <w:rsid w:val="002424DB"/>
    <w:rsid w:val="00254989"/>
    <w:rsid w:val="00261C36"/>
    <w:rsid w:val="002B3941"/>
    <w:rsid w:val="002B59D6"/>
    <w:rsid w:val="002B6500"/>
    <w:rsid w:val="002C289F"/>
    <w:rsid w:val="002C46F4"/>
    <w:rsid w:val="002D1FFB"/>
    <w:rsid w:val="002D6801"/>
    <w:rsid w:val="002F721B"/>
    <w:rsid w:val="0032465D"/>
    <w:rsid w:val="003366C7"/>
    <w:rsid w:val="00342CE3"/>
    <w:rsid w:val="003703B6"/>
    <w:rsid w:val="00387AD4"/>
    <w:rsid w:val="00387DC2"/>
    <w:rsid w:val="00392901"/>
    <w:rsid w:val="00393472"/>
    <w:rsid w:val="003D25D8"/>
    <w:rsid w:val="003F36F6"/>
    <w:rsid w:val="003F662E"/>
    <w:rsid w:val="00402CFC"/>
    <w:rsid w:val="00456A26"/>
    <w:rsid w:val="00461A76"/>
    <w:rsid w:val="0049469E"/>
    <w:rsid w:val="004A23AA"/>
    <w:rsid w:val="004B3DA6"/>
    <w:rsid w:val="004E43FD"/>
    <w:rsid w:val="004E5412"/>
    <w:rsid w:val="00505A9D"/>
    <w:rsid w:val="00507143"/>
    <w:rsid w:val="00531D2D"/>
    <w:rsid w:val="005878E9"/>
    <w:rsid w:val="005B005A"/>
    <w:rsid w:val="005B5AB4"/>
    <w:rsid w:val="005C4E56"/>
    <w:rsid w:val="005D70A3"/>
    <w:rsid w:val="005E6A88"/>
    <w:rsid w:val="00605889"/>
    <w:rsid w:val="00621200"/>
    <w:rsid w:val="00635415"/>
    <w:rsid w:val="0063677D"/>
    <w:rsid w:val="00651703"/>
    <w:rsid w:val="00676007"/>
    <w:rsid w:val="00687C12"/>
    <w:rsid w:val="006D45FB"/>
    <w:rsid w:val="006F39DC"/>
    <w:rsid w:val="00720DCE"/>
    <w:rsid w:val="007219B8"/>
    <w:rsid w:val="00790A9A"/>
    <w:rsid w:val="007D6B0A"/>
    <w:rsid w:val="007E7741"/>
    <w:rsid w:val="007F2A50"/>
    <w:rsid w:val="008019B0"/>
    <w:rsid w:val="00807DFC"/>
    <w:rsid w:val="00814781"/>
    <w:rsid w:val="008165E1"/>
    <w:rsid w:val="00825CF9"/>
    <w:rsid w:val="008748AE"/>
    <w:rsid w:val="008A30E1"/>
    <w:rsid w:val="008A328F"/>
    <w:rsid w:val="008E60A1"/>
    <w:rsid w:val="008F2141"/>
    <w:rsid w:val="0092751B"/>
    <w:rsid w:val="0094045D"/>
    <w:rsid w:val="00950CFD"/>
    <w:rsid w:val="00981674"/>
    <w:rsid w:val="009C58AF"/>
    <w:rsid w:val="009F758D"/>
    <w:rsid w:val="00A05552"/>
    <w:rsid w:val="00A10F4F"/>
    <w:rsid w:val="00A30A4D"/>
    <w:rsid w:val="00A44625"/>
    <w:rsid w:val="00A7698F"/>
    <w:rsid w:val="00AC508A"/>
    <w:rsid w:val="00AC553C"/>
    <w:rsid w:val="00AC59FB"/>
    <w:rsid w:val="00AD22AE"/>
    <w:rsid w:val="00AF14D1"/>
    <w:rsid w:val="00B37400"/>
    <w:rsid w:val="00B86EE4"/>
    <w:rsid w:val="00BA4499"/>
    <w:rsid w:val="00BB2A7A"/>
    <w:rsid w:val="00BF413D"/>
    <w:rsid w:val="00BF5145"/>
    <w:rsid w:val="00C6762D"/>
    <w:rsid w:val="00C709D2"/>
    <w:rsid w:val="00C76811"/>
    <w:rsid w:val="00C834B2"/>
    <w:rsid w:val="00C96C54"/>
    <w:rsid w:val="00CA1EDF"/>
    <w:rsid w:val="00CC7A54"/>
    <w:rsid w:val="00CF28C1"/>
    <w:rsid w:val="00CF4B12"/>
    <w:rsid w:val="00D056FF"/>
    <w:rsid w:val="00D074D8"/>
    <w:rsid w:val="00D33BEB"/>
    <w:rsid w:val="00D510AE"/>
    <w:rsid w:val="00D56476"/>
    <w:rsid w:val="00DA1361"/>
    <w:rsid w:val="00DB6C6A"/>
    <w:rsid w:val="00DC3E5A"/>
    <w:rsid w:val="00DD0462"/>
    <w:rsid w:val="00E1049D"/>
    <w:rsid w:val="00E203FB"/>
    <w:rsid w:val="00E371D3"/>
    <w:rsid w:val="00E4336B"/>
    <w:rsid w:val="00E53BD7"/>
    <w:rsid w:val="00E76DCD"/>
    <w:rsid w:val="00ED40AB"/>
    <w:rsid w:val="00EE71B0"/>
    <w:rsid w:val="00F047DE"/>
    <w:rsid w:val="00F15F9B"/>
    <w:rsid w:val="00F2749B"/>
    <w:rsid w:val="00F34180"/>
    <w:rsid w:val="00F543A9"/>
    <w:rsid w:val="00F54B4B"/>
    <w:rsid w:val="00F727A0"/>
    <w:rsid w:val="00F91314"/>
    <w:rsid w:val="00FC0AD6"/>
    <w:rsid w:val="00FD5A92"/>
    <w:rsid w:val="0C2A40D9"/>
    <w:rsid w:val="0F597157"/>
    <w:rsid w:val="11AA3420"/>
    <w:rsid w:val="234B4A63"/>
    <w:rsid w:val="2C5769AD"/>
    <w:rsid w:val="2DDB73E1"/>
    <w:rsid w:val="313046BD"/>
    <w:rsid w:val="34FC6E5F"/>
    <w:rsid w:val="387F0FF2"/>
    <w:rsid w:val="38A26119"/>
    <w:rsid w:val="5D9616FA"/>
    <w:rsid w:val="605D6BA5"/>
    <w:rsid w:val="63AA6C19"/>
    <w:rsid w:val="681D012F"/>
    <w:rsid w:val="6A4440FA"/>
    <w:rsid w:val="6AC6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653BA"/>
  <w15:docId w15:val="{9B1497B5-1975-48BB-9B80-A13CC367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annotation subject"/>
    <w:basedOn w:val="a3"/>
    <w:next w:val="a3"/>
    <w:link w:val="a8"/>
    <w:uiPriority w:val="99"/>
    <w:semiHidden/>
    <w:unhideWhenUsed/>
    <w:qFormat/>
    <w:rPr>
      <w:b/>
      <w:bCs/>
    </w:rPr>
  </w:style>
  <w:style w:type="character" w:styleId="a9">
    <w:name w:val="Emphasis"/>
    <w:basedOn w:val="a0"/>
    <w:qFormat/>
    <w:rPr>
      <w:i/>
    </w:rPr>
  </w:style>
  <w:style w:type="character" w:styleId="aa">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rPr>
      <w:rFonts w:ascii="Calibri" w:hAnsi="Calibri" w:cs="Arial"/>
      <w:kern w:val="2"/>
      <w:sz w:val="21"/>
      <w:szCs w:val="22"/>
    </w:rPr>
  </w:style>
  <w:style w:type="paragraph" w:styleId="ab">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Calibri" w:hAnsi="Calibri" w:cs="Arial"/>
      <w:kern w:val="2"/>
      <w:sz w:val="21"/>
      <w:szCs w:val="22"/>
    </w:rPr>
  </w:style>
  <w:style w:type="character" w:customStyle="1" w:styleId="a8">
    <w:name w:val="批注主题 字符"/>
    <w:basedOn w:val="a4"/>
    <w:link w:val="a7"/>
    <w:uiPriority w:val="99"/>
    <w:semiHidden/>
    <w:qFormat/>
    <w:rPr>
      <w:rFonts w:ascii="Calibri" w:hAnsi="Calibri" w:cs="Arial"/>
      <w:b/>
      <w:bCs/>
      <w:kern w:val="2"/>
      <w:sz w:val="21"/>
      <w:szCs w:val="22"/>
    </w:rPr>
  </w:style>
  <w:style w:type="paragraph" w:customStyle="1" w:styleId="1">
    <w:name w:val="修订1"/>
    <w:hidden/>
    <w:uiPriority w:val="99"/>
    <w:semiHidden/>
    <w:qFormat/>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EML-AL00</dc:creator>
  <cp:lastModifiedBy>wen w</cp:lastModifiedBy>
  <cp:revision>3</cp:revision>
  <cp:lastPrinted>2022-09-29T19:50:00Z</cp:lastPrinted>
  <dcterms:created xsi:type="dcterms:W3CDTF">2022-12-13T12:51:00Z</dcterms:created>
  <dcterms:modified xsi:type="dcterms:W3CDTF">2023-04-13T07:25:00Z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FC9EE5A479B94587B866905071F2597D</vt:lpwstr>
  </property>
  <property fmtid="{D5CDD505-2E9C-101B-9397-08002B2CF9AE}" pid="3" name="KSOProductBuildVer">
    <vt:lpwstr>2052-4.6.1.7467</vt:lpwstr>
  </property>
</Properties>
</file>