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firstLineChars="0"/>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全国体育运动学校联合会</w:t>
      </w:r>
    </w:p>
    <w:p>
      <w:pPr>
        <w:spacing w:line="480" w:lineRule="exact"/>
        <w:ind w:firstLine="0" w:firstLineChars="0"/>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匹克球裁判员管理办法（试行）</w:t>
      </w:r>
    </w:p>
    <w:p>
      <w:pPr>
        <w:spacing w:after="4" w:line="250" w:lineRule="auto"/>
        <w:ind w:left="720" w:right="52" w:firstLine="6083" w:firstLineChars="2897"/>
      </w:pPr>
    </w:p>
    <w:p>
      <w:pPr>
        <w:spacing w:after="4" w:line="250" w:lineRule="auto"/>
        <w:ind w:left="720" w:right="52" w:firstLine="6083" w:firstLineChars="2897"/>
      </w:pPr>
    </w:p>
    <w:p>
      <w:pPr>
        <w:pStyle w:val="10"/>
        <w:numPr>
          <w:ilvl w:val="0"/>
          <w:numId w:val="1"/>
        </w:numPr>
        <w:spacing w:after="4" w:line="250" w:lineRule="auto"/>
        <w:ind w:right="52" w:firstLineChars="0"/>
        <w:jc w:val="left"/>
        <w:rPr>
          <w:rFonts w:ascii="仿宋_GB2312" w:hAnsi="仿宋_GB2312" w:eastAsia="仿宋_GB2312" w:cs="仿宋_GB2312"/>
          <w:b/>
          <w:bCs/>
          <w:sz w:val="32"/>
          <w:szCs w:val="32"/>
        </w:rPr>
      </w:pPr>
      <w:bookmarkStart w:id="0" w:name="_GoBack"/>
      <w:bookmarkEnd w:id="0"/>
      <w:r>
        <w:rPr>
          <w:rFonts w:hint="eastAsia" w:ascii="仿宋_GB2312" w:hAnsi="仿宋_GB2312" w:eastAsia="仿宋_GB2312" w:cs="仿宋_GB2312"/>
          <w:b/>
          <w:bCs/>
          <w:sz w:val="32"/>
          <w:szCs w:val="32"/>
        </w:rPr>
        <w:t>总 则</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保证匹克球竞赛公平、公正，有序、高效率地进行，规范全国体育运动学校联合会（以下简称全体联）匹克球竞赛裁判员培训、考核、注册、选派、处罚等监督管理工作，根据国家体育总局《体育竞赛裁判员管理办法》（国家体育总局第21号令），制定本办法。</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全体联匹克球竞赛裁判员（以下简称“裁判员”）实行统一注册、分级管理。</w:t>
      </w:r>
    </w:p>
    <w:p>
      <w:pPr>
        <w:spacing w:line="4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全体联匹克球裁判员的技术等级分为高级、中级、初级。</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全体联负责匹克球竞赛裁判员的培训、考核、等级认证、注册、选派及处罚等监督管理工作。</w:t>
      </w:r>
    </w:p>
    <w:p>
      <w:pPr>
        <w:spacing w:line="276" w:lineRule="auto"/>
        <w:ind w:firstLine="640" w:firstLineChars="200"/>
        <w:rPr>
          <w:rFonts w:ascii="仿宋_GB2312" w:hAnsi="仿宋_GB2312" w:eastAsia="仿宋_GB2312" w:cs="仿宋_GB2312"/>
          <w:sz w:val="32"/>
          <w:szCs w:val="32"/>
        </w:rPr>
      </w:pPr>
    </w:p>
    <w:p>
      <w:pPr>
        <w:spacing w:line="276" w:lineRule="auto"/>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裁判员注册条件、考核及等级认证</w:t>
      </w:r>
    </w:p>
    <w:p>
      <w:pPr>
        <w:spacing w:line="276" w:lineRule="auto"/>
        <w:ind w:firstLine="643" w:firstLineChars="201"/>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初级裁判员注册</w:t>
      </w:r>
      <w:r>
        <w:rPr>
          <w:rFonts w:hint="eastAsia" w:ascii="仿宋_GB2312" w:hAnsi="仿宋_GB2312" w:eastAsia="仿宋_GB2312" w:cs="仿宋_GB2312"/>
          <w:sz w:val="32"/>
          <w:szCs w:val="32"/>
          <w:lang w:eastAsia="zh-Hans"/>
        </w:rPr>
        <w:t xml:space="preserve">条件 </w:t>
      </w:r>
    </w:p>
    <w:p>
      <w:pPr>
        <w:pStyle w:val="10"/>
        <w:numPr>
          <w:ilvl w:val="0"/>
          <w:numId w:val="2"/>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年满18周岁的中国公民或居民，具备高中以上学历；</w:t>
      </w:r>
    </w:p>
    <w:p>
      <w:pPr>
        <w:pStyle w:val="10"/>
        <w:numPr>
          <w:ilvl w:val="0"/>
          <w:numId w:val="2"/>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了解匹克球运动、热爱匹克球运动，对投身到匹克球运动有强烈愿望；</w:t>
      </w:r>
    </w:p>
    <w:p>
      <w:pPr>
        <w:pStyle w:val="10"/>
        <w:numPr>
          <w:ilvl w:val="0"/>
          <w:numId w:val="2"/>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能够掌握和运用匹克球竞赛规则和裁判法；</w:t>
      </w:r>
    </w:p>
    <w:p>
      <w:pPr>
        <w:pStyle w:val="10"/>
        <w:numPr>
          <w:ilvl w:val="0"/>
          <w:numId w:val="2"/>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能够胜任地（市）级、县（区）级匹克球比赛裁判工作；</w:t>
      </w:r>
    </w:p>
    <w:p>
      <w:pPr>
        <w:pStyle w:val="10"/>
        <w:numPr>
          <w:ilvl w:val="0"/>
          <w:numId w:val="2"/>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经匹克球初级裁判员专业课程培训并考核通过者。</w:t>
      </w:r>
    </w:p>
    <w:p>
      <w:pPr>
        <w:spacing w:line="276" w:lineRule="auto"/>
        <w:ind w:firstLine="643" w:firstLineChars="201"/>
        <w:rPr>
          <w:rFonts w:ascii="仿宋_GB2312" w:hAnsi="仿宋_GB2312" w:eastAsia="仿宋_GB2312" w:cs="仿宋_GB2312"/>
          <w:sz w:val="32"/>
          <w:szCs w:val="32"/>
        </w:rPr>
      </w:pPr>
      <w:r>
        <w:rPr>
          <w:rFonts w:hint="eastAsia" w:ascii="仿宋_GB2312" w:hAnsi="仿宋_GB2312" w:eastAsia="仿宋_GB2312" w:cs="仿宋_GB2312"/>
          <w:sz w:val="32"/>
          <w:szCs w:val="32"/>
        </w:rPr>
        <w:t>第六条 中级裁判员注册</w:t>
      </w:r>
      <w:r>
        <w:rPr>
          <w:rFonts w:hint="eastAsia" w:ascii="仿宋_GB2312" w:hAnsi="仿宋_GB2312" w:eastAsia="仿宋_GB2312" w:cs="仿宋_GB2312"/>
          <w:sz w:val="32"/>
          <w:szCs w:val="32"/>
          <w:lang w:eastAsia="zh-Hans"/>
        </w:rPr>
        <w:t>条件</w:t>
      </w:r>
    </w:p>
    <w:p>
      <w:pPr>
        <w:pStyle w:val="10"/>
        <w:numPr>
          <w:ilvl w:val="0"/>
          <w:numId w:val="3"/>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但任匹克球初级裁判员满二年；</w:t>
      </w:r>
    </w:p>
    <w:p>
      <w:pPr>
        <w:pStyle w:val="10"/>
        <w:numPr>
          <w:ilvl w:val="0"/>
          <w:numId w:val="3"/>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至少有5次执裁地（市）级及以上比赛的执裁经验，或至少2次担任县级匹克球比赛副裁判长以上职务；</w:t>
      </w:r>
    </w:p>
    <w:p>
      <w:pPr>
        <w:pStyle w:val="10"/>
        <w:numPr>
          <w:ilvl w:val="0"/>
          <w:numId w:val="3"/>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对匹克球运动有更深刻的理解，知晓常用击球技术和战术；</w:t>
      </w:r>
    </w:p>
    <w:p>
      <w:pPr>
        <w:pStyle w:val="10"/>
        <w:numPr>
          <w:ilvl w:val="0"/>
          <w:numId w:val="3"/>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能够掌握和正确运用匹克球竞赛规则和裁判法，掌握基本编排方法；</w:t>
      </w:r>
    </w:p>
    <w:p>
      <w:pPr>
        <w:pStyle w:val="10"/>
        <w:numPr>
          <w:ilvl w:val="255"/>
          <w:numId w:val="0"/>
        </w:numPr>
        <w:spacing w:line="44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（五）经匹克球中级</w:t>
      </w:r>
      <w:r>
        <w:rPr>
          <w:rFonts w:hint="eastAsia" w:ascii="仿宋_GB2312" w:hAnsi="仿宋_GB2312" w:eastAsia="仿宋_GB2312" w:cs="仿宋_GB2312"/>
          <w:sz w:val="32"/>
          <w:szCs w:val="32"/>
          <w:lang w:eastAsia="zh-Hans"/>
        </w:rPr>
        <w:t>裁判员专业课程</w:t>
      </w:r>
      <w:r>
        <w:rPr>
          <w:rFonts w:hint="eastAsia" w:ascii="仿宋_GB2312" w:hAnsi="仿宋_GB2312" w:eastAsia="仿宋_GB2312" w:cs="仿宋_GB2312"/>
          <w:sz w:val="32"/>
          <w:szCs w:val="32"/>
        </w:rPr>
        <w:t>培训并考核通过。</w:t>
      </w:r>
    </w:p>
    <w:p>
      <w:pPr>
        <w:spacing w:line="276" w:lineRule="auto"/>
        <w:ind w:firstLine="643" w:firstLineChars="201"/>
        <w:rPr>
          <w:rFonts w:ascii="仿宋_GB2312" w:hAnsi="仿宋_GB2312" w:eastAsia="仿宋_GB2312" w:cs="仿宋_GB2312"/>
          <w:sz w:val="32"/>
          <w:szCs w:val="32"/>
        </w:rPr>
      </w:pPr>
      <w:r>
        <w:rPr>
          <w:rFonts w:hint="eastAsia" w:ascii="仿宋_GB2312" w:hAnsi="仿宋_GB2312" w:eastAsia="仿宋_GB2312" w:cs="仿宋_GB2312"/>
          <w:sz w:val="32"/>
          <w:szCs w:val="32"/>
        </w:rPr>
        <w:t>第七条 高级裁判员注册</w:t>
      </w:r>
      <w:r>
        <w:rPr>
          <w:rFonts w:hint="eastAsia" w:ascii="仿宋_GB2312" w:hAnsi="仿宋_GB2312" w:eastAsia="仿宋_GB2312" w:cs="仿宋_GB2312"/>
          <w:sz w:val="32"/>
          <w:szCs w:val="32"/>
          <w:lang w:eastAsia="zh-Hans"/>
        </w:rPr>
        <w:t>条件</w:t>
      </w:r>
    </w:p>
    <w:p>
      <w:pPr>
        <w:pStyle w:val="10"/>
        <w:numPr>
          <w:ilvl w:val="0"/>
          <w:numId w:val="4"/>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但任匹克球中级裁判员满三年；</w:t>
      </w:r>
    </w:p>
    <w:p>
      <w:pPr>
        <w:pStyle w:val="10"/>
        <w:numPr>
          <w:ilvl w:val="0"/>
          <w:numId w:val="4"/>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至少有10次省或直辖市级以上比赛的执裁经验，或2次担任地（市）及以上级比赛的副裁判长以上职务；</w:t>
      </w:r>
    </w:p>
    <w:p>
      <w:pPr>
        <w:pStyle w:val="10"/>
        <w:numPr>
          <w:ilvl w:val="0"/>
          <w:numId w:val="4"/>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了解匹克球发展趋势，与最新的匹克球竞赛规则保持同步；</w:t>
      </w:r>
    </w:p>
    <w:p>
      <w:pPr>
        <w:pStyle w:val="10"/>
        <w:numPr>
          <w:ilvl w:val="0"/>
          <w:numId w:val="4"/>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能够熟练掌握和准确运用匹克球竞赛规则和裁判法，掌握竞赛编排方法，能拟定竞赛规程并且有竞赛组织能力；</w:t>
      </w:r>
    </w:p>
    <w:p>
      <w:pPr>
        <w:pStyle w:val="10"/>
        <w:numPr>
          <w:ilvl w:val="0"/>
          <w:numId w:val="4"/>
        </w:numPr>
        <w:spacing w:line="440" w:lineRule="exact"/>
        <w:ind w:left="1418" w:hanging="862"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经匹克球</w:t>
      </w:r>
      <w:r>
        <w:rPr>
          <w:rFonts w:hint="eastAsia" w:ascii="仿宋_GB2312" w:hAnsi="仿宋_GB2312" w:eastAsia="仿宋_GB2312" w:cs="仿宋_GB2312"/>
          <w:sz w:val="32"/>
          <w:szCs w:val="32"/>
          <w:lang w:eastAsia="zh-Hans"/>
        </w:rPr>
        <w:t>高级裁判员专业课程</w:t>
      </w:r>
      <w:r>
        <w:rPr>
          <w:rFonts w:hint="eastAsia" w:ascii="仿宋_GB2312" w:hAnsi="仿宋_GB2312" w:eastAsia="仿宋_GB2312" w:cs="仿宋_GB2312"/>
          <w:sz w:val="32"/>
          <w:szCs w:val="32"/>
        </w:rPr>
        <w:t>培训并考核通过。</w:t>
      </w:r>
    </w:p>
    <w:p>
      <w:pPr>
        <w:pStyle w:val="10"/>
        <w:spacing w:line="276" w:lineRule="auto"/>
        <w:ind w:left="1" w:firstLine="643" w:firstLineChars="201"/>
        <w:rPr>
          <w:rFonts w:ascii="仿宋_GB2312" w:hAnsi="仿宋_GB2312" w:eastAsia="仿宋_GB2312" w:cs="仿宋_GB2312"/>
          <w:sz w:val="32"/>
          <w:szCs w:val="32"/>
        </w:rPr>
      </w:pPr>
      <w:r>
        <w:rPr>
          <w:rFonts w:hint="eastAsia" w:ascii="仿宋_GB2312" w:hAnsi="仿宋_GB2312" w:eastAsia="仿宋_GB2312" w:cs="仿宋_GB2312"/>
          <w:sz w:val="32"/>
          <w:szCs w:val="32"/>
        </w:rPr>
        <w:t>第八条 裁判员培训、考核内容</w:t>
      </w:r>
    </w:p>
    <w:p>
      <w:pPr>
        <w:pStyle w:val="10"/>
        <w:numPr>
          <w:ilvl w:val="0"/>
          <w:numId w:val="5"/>
        </w:numPr>
        <w:spacing w:line="440" w:lineRule="exact"/>
        <w:ind w:left="1418" w:hanging="851"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初级裁判员专业课程培训考核内容将包括笔试（IFP国际匹克球联合会竞赛规则）和实操（赛前准备、装备及场地检查、执裁单双打比赛的主裁判法及边线裁判法）两部分。主要考核基础内容。</w:t>
      </w:r>
    </w:p>
    <w:p>
      <w:pPr>
        <w:pStyle w:val="10"/>
        <w:numPr>
          <w:ilvl w:val="0"/>
          <w:numId w:val="5"/>
        </w:numPr>
        <w:spacing w:line="440" w:lineRule="exact"/>
        <w:ind w:left="1418" w:hanging="851"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中级裁判员专业课程培训考核内容将包括笔试（IFP国际匹克球联合会竞赛规则）和实操（赛前准备、装备及场地检查、比赛执裁的主裁判法及边线裁判法，场上常见情形处理等）两部分。</w:t>
      </w:r>
    </w:p>
    <w:p>
      <w:pPr>
        <w:pStyle w:val="10"/>
        <w:numPr>
          <w:ilvl w:val="0"/>
          <w:numId w:val="5"/>
        </w:numPr>
        <w:spacing w:line="440" w:lineRule="exact"/>
        <w:ind w:left="1418" w:hanging="851"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高级裁判员专业课程培训考核内容将包括笔试（IFP国际匹克球联合会 竞赛规则）和实操（赛前准备、装备及场地检查、比赛执裁的主裁判法及边线裁判法，场上常见及不常见的情形处理等）两部分。</w:t>
      </w:r>
    </w:p>
    <w:p>
      <w:pPr>
        <w:pStyle w:val="10"/>
        <w:spacing w:line="276" w:lineRule="auto"/>
        <w:ind w:left="1" w:firstLine="643" w:firstLineChars="201"/>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全体联及其授权培训机构将按如下频次组织各级裁判员的培训、考核：</w:t>
      </w:r>
    </w:p>
    <w:p>
      <w:pPr>
        <w:pStyle w:val="10"/>
        <w:numPr>
          <w:ilvl w:val="1"/>
          <w:numId w:val="3"/>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初级裁判员：每年多次；</w:t>
      </w:r>
    </w:p>
    <w:p>
      <w:pPr>
        <w:pStyle w:val="10"/>
        <w:numPr>
          <w:ilvl w:val="1"/>
          <w:numId w:val="3"/>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中级裁判员：每两年至少一次，视初级裁判员储备数量情况调整；</w:t>
      </w:r>
    </w:p>
    <w:p>
      <w:pPr>
        <w:pStyle w:val="10"/>
        <w:numPr>
          <w:ilvl w:val="1"/>
          <w:numId w:val="3"/>
        </w:numPr>
        <w:spacing w:line="440" w:lineRule="exact"/>
        <w:ind w:left="1418"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高级裁判员：根据中级裁判员储备数量情况酌情安排。</w:t>
      </w:r>
    </w:p>
    <w:p>
      <w:pPr>
        <w:spacing w:line="440" w:lineRule="exact"/>
        <w:ind w:left="1"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满足相应级别裁判员的注册条件、通过相应级别的裁判员专业课程培训并考核通过者将同时获得相应级别的裁判员等级认证，获得由全体联颁发的匹克球裁判员等级证书。</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各级裁判员等级证书由全体联统一制作，</w:t>
      </w:r>
      <w:r>
        <w:rPr>
          <w:rFonts w:hint="eastAsia" w:ascii="仿宋_GB2312" w:hAnsi="仿宋_GB2312" w:eastAsia="仿宋_GB2312" w:cs="仿宋_GB2312"/>
          <w:sz w:val="32"/>
          <w:szCs w:val="32"/>
          <w:lang w:eastAsia="zh-Hans"/>
        </w:rPr>
        <w:t>由全体联授权培训单位发放</w:t>
      </w:r>
      <w:r>
        <w:rPr>
          <w:rFonts w:hint="eastAsia" w:ascii="仿宋_GB2312" w:hAnsi="仿宋_GB2312" w:eastAsia="仿宋_GB2312" w:cs="仿宋_GB2312"/>
          <w:sz w:val="32"/>
          <w:szCs w:val="32"/>
        </w:rPr>
        <w:t>。</w:t>
      </w:r>
    </w:p>
    <w:p>
      <w:pPr>
        <w:spacing w:line="276" w:lineRule="auto"/>
        <w:ind w:firstLine="0" w:firstLineChars="0"/>
        <w:rPr>
          <w:rFonts w:ascii="仿宋_GB2312" w:hAnsi="仿宋_GB2312" w:eastAsia="仿宋_GB2312" w:cs="仿宋_GB2312"/>
          <w:sz w:val="32"/>
          <w:szCs w:val="32"/>
        </w:rPr>
      </w:pPr>
    </w:p>
    <w:p>
      <w:pPr>
        <w:spacing w:line="276" w:lineRule="auto"/>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注册管理</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裁判员实行统一注册管理制度。</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各级裁判员在取得裁判员等级证书后须填写“附件一 匹克球裁判员注册申请表”向全体联申请登记注册。登记注册由授权培训机构统一提交。全体联在十五个工作日内给出是否准予注册的意见。</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全体联每两年按地域组织一次对注册裁判员的继续</w:t>
      </w:r>
      <w:r>
        <w:rPr>
          <w:rFonts w:hint="eastAsia" w:ascii="仿宋_GB2312" w:hAnsi="仿宋_GB2312" w:eastAsia="仿宋_GB2312" w:cs="仿宋_GB2312"/>
          <w:sz w:val="32"/>
          <w:szCs w:val="32"/>
          <w:lang w:eastAsia="zh-Hans"/>
        </w:rPr>
        <w:t>教育</w:t>
      </w:r>
      <w:r>
        <w:rPr>
          <w:rFonts w:hint="eastAsia" w:ascii="仿宋_GB2312" w:hAnsi="仿宋_GB2312" w:eastAsia="仿宋_GB2312" w:cs="仿宋_GB2312"/>
          <w:sz w:val="32"/>
          <w:szCs w:val="32"/>
        </w:rPr>
        <w:t>培训，以保持和提高注册裁判员的执裁水平。</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未注册的裁判员或失去注册资格的裁判员，将无法在全体联组织或支持的相关赛事中的</w:t>
      </w:r>
      <w:r>
        <w:rPr>
          <w:rFonts w:hint="eastAsia" w:ascii="仿宋_GB2312" w:hAnsi="仿宋_GB2312" w:eastAsia="仿宋_GB2312" w:cs="仿宋_GB2312"/>
          <w:sz w:val="32"/>
          <w:szCs w:val="32"/>
          <w:lang w:eastAsia="zh-Hans"/>
        </w:rPr>
        <w:t>执行</w:t>
      </w:r>
      <w:r>
        <w:rPr>
          <w:rFonts w:hint="eastAsia" w:ascii="仿宋_GB2312" w:hAnsi="仿宋_GB2312" w:eastAsia="仿宋_GB2312" w:cs="仿宋_GB2312"/>
          <w:sz w:val="32"/>
          <w:szCs w:val="32"/>
        </w:rPr>
        <w:t>裁判工作。</w:t>
      </w:r>
    </w:p>
    <w:p>
      <w:pPr>
        <w:spacing w:line="276" w:lineRule="auto"/>
        <w:ind w:firstLine="643" w:firstLineChars="201"/>
        <w:rPr>
          <w:rFonts w:ascii="仿宋_GB2312" w:hAnsi="仿宋_GB2312" w:eastAsia="仿宋_GB2312" w:cs="仿宋_GB2312"/>
          <w:sz w:val="32"/>
          <w:szCs w:val="32"/>
        </w:rPr>
      </w:pPr>
    </w:p>
    <w:p>
      <w:pPr>
        <w:spacing w:line="276" w:lineRule="auto"/>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选派</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全国性匹克球赛事的裁判长、副裁判长及主裁判员将由全体联选派高级裁判员担任，其它裁判员将由全体联选派中级裁判员担任。</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各省、自治区、直辖市举办的匹克球赛事，全体联将在裁判员数据库中选派适宜赛事级别的裁判员参与执裁工作。 各级比赛裁判员的选派工作将遵循公开、就近、择优和中立的原则进行。</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裁判员参加赛事执裁实行回避制度，在工作中自觉杜绝与球队或球员的联系。临场执裁采取实施监督制度，确保裁判员公平执裁。</w:t>
      </w:r>
    </w:p>
    <w:p>
      <w:pPr>
        <w:spacing w:line="276" w:lineRule="auto"/>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权利和义务</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各级裁判员享有以下权力:</w:t>
      </w:r>
    </w:p>
    <w:p>
      <w:pPr>
        <w:pStyle w:val="10"/>
        <w:numPr>
          <w:ilvl w:val="0"/>
          <w:numId w:val="6"/>
        </w:numPr>
        <w:spacing w:line="440" w:lineRule="exact"/>
        <w:ind w:left="1134"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参加相应等级的匹克球竞赛执裁工作；</w:t>
      </w:r>
    </w:p>
    <w:p>
      <w:pPr>
        <w:pStyle w:val="10"/>
        <w:numPr>
          <w:ilvl w:val="0"/>
          <w:numId w:val="6"/>
        </w:numPr>
        <w:spacing w:line="440" w:lineRule="exact"/>
        <w:ind w:left="1134"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参加裁判员的学习、培训和继续教育；</w:t>
      </w:r>
    </w:p>
    <w:p>
      <w:pPr>
        <w:pStyle w:val="10"/>
        <w:numPr>
          <w:ilvl w:val="0"/>
          <w:numId w:val="6"/>
        </w:numPr>
        <w:spacing w:line="440" w:lineRule="exact"/>
        <w:ind w:left="1134"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享受参加匹克球赛事裁判工作的相关待遇；</w:t>
      </w:r>
    </w:p>
    <w:p>
      <w:pPr>
        <w:pStyle w:val="10"/>
        <w:numPr>
          <w:ilvl w:val="0"/>
          <w:numId w:val="6"/>
        </w:numPr>
        <w:spacing w:line="440" w:lineRule="exact"/>
        <w:ind w:left="1134"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被处罚时有申诉的权力。</w:t>
      </w:r>
    </w:p>
    <w:p>
      <w:pPr>
        <w:pStyle w:val="10"/>
        <w:spacing w:line="276" w:lineRule="auto"/>
        <w:ind w:left="880" w:firstLine="0" w:firstLineChars="0"/>
        <w:rPr>
          <w:rFonts w:ascii="仿宋_GB2312" w:hAnsi="仿宋_GB2312" w:eastAsia="仿宋_GB2312" w:cs="仿宋_GB2312"/>
          <w:sz w:val="32"/>
          <w:szCs w:val="32"/>
        </w:rPr>
      </w:pP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各级裁判承担下列义务:</w:t>
      </w:r>
    </w:p>
    <w:p>
      <w:pPr>
        <w:pStyle w:val="10"/>
        <w:numPr>
          <w:ilvl w:val="1"/>
          <w:numId w:val="5"/>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自觉遵守有关纪律和规定，廉洁自律，公平、公正执裁；</w:t>
      </w:r>
    </w:p>
    <w:p>
      <w:pPr>
        <w:pStyle w:val="10"/>
        <w:numPr>
          <w:ilvl w:val="1"/>
          <w:numId w:val="5"/>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主动学习并研究匹克球的最新规则及裁判法；</w:t>
      </w:r>
    </w:p>
    <w:p>
      <w:pPr>
        <w:pStyle w:val="10"/>
        <w:numPr>
          <w:ilvl w:val="1"/>
          <w:numId w:val="5"/>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主动参加继续教育活动，并服从安排对其他裁判员进行传、帮、带；</w:t>
      </w:r>
    </w:p>
    <w:p>
      <w:pPr>
        <w:pStyle w:val="10"/>
        <w:numPr>
          <w:ilvl w:val="1"/>
          <w:numId w:val="5"/>
        </w:numPr>
        <w:spacing w:line="440" w:lineRule="exact"/>
        <w:ind w:left="1418"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主动承担并参加各类裁判工作，尤其是推广期的义务或自愿者工作。</w:t>
      </w:r>
    </w:p>
    <w:p>
      <w:pPr>
        <w:pStyle w:val="10"/>
        <w:spacing w:line="276" w:lineRule="auto"/>
        <w:ind w:left="1144" w:firstLine="0" w:firstLineChars="0"/>
        <w:rPr>
          <w:rFonts w:ascii="仿宋_GB2312" w:hAnsi="仿宋_GB2312" w:eastAsia="仿宋_GB2312" w:cs="仿宋_GB2312"/>
          <w:sz w:val="32"/>
          <w:szCs w:val="32"/>
        </w:rPr>
      </w:pPr>
    </w:p>
    <w:p>
      <w:pPr>
        <w:pStyle w:val="10"/>
        <w:spacing w:line="276" w:lineRule="auto"/>
        <w:ind w:left="0"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继续教育考核和处罚</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全体联以两年为周期对注册的裁判员进行一次继续</w:t>
      </w:r>
      <w:r>
        <w:rPr>
          <w:rFonts w:hint="eastAsia" w:ascii="仿宋_GB2312" w:hAnsi="仿宋_GB2312" w:eastAsia="仿宋_GB2312" w:cs="仿宋_GB2312"/>
          <w:sz w:val="32"/>
          <w:szCs w:val="32"/>
          <w:lang w:eastAsia="zh-Hans"/>
        </w:rPr>
        <w:t>教育的</w:t>
      </w:r>
      <w:r>
        <w:rPr>
          <w:rFonts w:hint="eastAsia" w:ascii="仿宋_GB2312" w:hAnsi="仿宋_GB2312" w:eastAsia="仿宋_GB2312" w:cs="仿宋_GB2312"/>
          <w:sz w:val="32"/>
          <w:szCs w:val="32"/>
        </w:rPr>
        <w:t>培训和考核。未参加继续</w:t>
      </w:r>
      <w:r>
        <w:rPr>
          <w:rFonts w:hint="eastAsia" w:ascii="仿宋_GB2312" w:hAnsi="仿宋_GB2312" w:eastAsia="仿宋_GB2312" w:cs="仿宋_GB2312"/>
          <w:sz w:val="32"/>
          <w:szCs w:val="32"/>
          <w:lang w:eastAsia="zh-Hans"/>
        </w:rPr>
        <w:t>教育</w:t>
      </w:r>
      <w:r>
        <w:rPr>
          <w:rFonts w:hint="eastAsia" w:ascii="仿宋_GB2312" w:hAnsi="仿宋_GB2312" w:eastAsia="仿宋_GB2312" w:cs="仿宋_GB2312"/>
          <w:sz w:val="32"/>
          <w:szCs w:val="32"/>
        </w:rPr>
        <w:t>培训或考核未通过的裁判员将不会被选派参与其后赛事的执裁工作。连续两个周期未参加继续培训的注册裁判员将失去裁判员注册资格。</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第二十二条  对违规、违纪注册裁判员的处罚，以处罚严重程度由轻到重为序，分为如下几个等级：警告（口头、书面）、取消若干场次的执裁资格、取消一至两年的执裁资格、降低裁判员技术等级、注销注册裁判员资格、终身禁止裁判员执裁资格等。</w:t>
      </w:r>
    </w:p>
    <w:p>
      <w:pPr>
        <w:spacing w:line="276" w:lineRule="auto"/>
        <w:ind w:firstLine="643" w:firstLineChars="201"/>
        <w:rPr>
          <w:rFonts w:ascii="仿宋_GB2312" w:hAnsi="仿宋_GB2312" w:eastAsia="仿宋_GB2312" w:cs="仿宋_GB2312"/>
          <w:sz w:val="32"/>
          <w:szCs w:val="32"/>
        </w:rPr>
      </w:pPr>
    </w:p>
    <w:p>
      <w:pPr>
        <w:spacing w:line="276" w:lineRule="auto"/>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附则</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本办法由全体联秘书处负责解释和修订。</w:t>
      </w:r>
    </w:p>
    <w:p>
      <w:pPr>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本办法作为暂行条例自发布之日起施行。</w:t>
      </w:r>
    </w:p>
    <w:p>
      <w:pPr>
        <w:spacing w:line="276" w:lineRule="auto"/>
        <w:rPr>
          <w:rFonts w:asciiTheme="majorEastAsia" w:hAnsiTheme="majorEastAsia" w:eastAsiaTheme="majorEastAsia"/>
          <w:b/>
          <w:bCs/>
          <w:szCs w:val="21"/>
        </w:rPr>
      </w:pPr>
      <w:r>
        <w:rPr>
          <w:rFonts w:asciiTheme="majorEastAsia" w:hAnsiTheme="majorEastAsia" w:eastAsiaTheme="majorEastAsia"/>
          <w:b/>
          <w:bCs/>
          <w:szCs w:val="21"/>
        </w:rPr>
        <w:br w:type="page"/>
      </w:r>
      <w:r>
        <w:rPr>
          <w:rFonts w:hint="eastAsia" w:ascii="仿宋" w:hAnsi="仿宋" w:eastAsia="仿宋"/>
          <w:color w:val="000000"/>
          <w:sz w:val="32"/>
          <w:szCs w:val="32"/>
        </w:rPr>
        <w:t>附件一：</w:t>
      </w:r>
    </w:p>
    <w:p>
      <w:pPr>
        <w:widowControl/>
        <w:spacing w:line="440" w:lineRule="exact"/>
        <w:jc w:val="center"/>
        <w:rPr>
          <w:rFonts w:ascii="宋体" w:hAnsi="宋体" w:cs="宋体"/>
          <w:b/>
          <w:bCs/>
          <w:color w:val="000000"/>
          <w:kern w:val="0"/>
          <w:sz w:val="28"/>
          <w:szCs w:val="28"/>
        </w:rPr>
      </w:pPr>
      <w:r>
        <w:rPr>
          <w:rFonts w:hint="eastAsia" w:ascii="宋体" w:hAnsi="宋体" w:cs="宋体"/>
          <w:b/>
          <w:bCs/>
          <w:color w:val="000000"/>
          <w:kern w:val="0"/>
          <w:sz w:val="28"/>
          <w:szCs w:val="28"/>
        </w:rPr>
        <w:t>匹克球裁判员注册申请表</w:t>
      </w:r>
    </w:p>
    <w:p>
      <w:pPr>
        <w:widowControl/>
        <w:spacing w:line="440" w:lineRule="exact"/>
        <w:rPr>
          <w:rFonts w:ascii="宋体" w:hAnsi="宋体" w:cs="宋体"/>
          <w:b/>
          <w:bCs/>
          <w:color w:val="000000"/>
          <w:kern w:val="0"/>
          <w:sz w:val="36"/>
          <w:szCs w:val="36"/>
        </w:rPr>
      </w:pPr>
    </w:p>
    <w:tbl>
      <w:tblPr>
        <w:tblStyle w:val="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565"/>
        <w:gridCol w:w="424"/>
        <w:gridCol w:w="284"/>
        <w:gridCol w:w="570"/>
        <w:gridCol w:w="709"/>
        <w:gridCol w:w="711"/>
        <w:gridCol w:w="423"/>
        <w:gridCol w:w="711"/>
        <w:gridCol w:w="281"/>
        <w:gridCol w:w="142"/>
        <w:gridCol w:w="570"/>
        <w:gridCol w:w="708"/>
        <w:gridCol w:w="1134"/>
        <w:gridCol w:w="2127"/>
      </w:tblGrid>
      <w:tr>
        <w:trPr>
          <w:trHeight w:val="621" w:hRule="atLeast"/>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姓  名</w:t>
            </w:r>
          </w:p>
        </w:tc>
        <w:tc>
          <w:tcPr>
            <w:tcW w:w="1278" w:type="dxa"/>
            <w:gridSpan w:val="3"/>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性别</w:t>
            </w:r>
          </w:p>
        </w:tc>
        <w:tc>
          <w:tcPr>
            <w:tcW w:w="711" w:type="dxa"/>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政治面貌</w:t>
            </w:r>
          </w:p>
        </w:tc>
        <w:tc>
          <w:tcPr>
            <w:tcW w:w="993" w:type="dxa"/>
            <w:gridSpan w:val="3"/>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708" w:type="dxa"/>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民族</w:t>
            </w:r>
          </w:p>
        </w:tc>
        <w:tc>
          <w:tcPr>
            <w:tcW w:w="1133" w:type="dxa"/>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2127" w:type="dxa"/>
            <w:vMerge w:val="restart"/>
            <w:tcBorders>
              <w:top w:val="single" w:color="auto" w:sz="4" w:space="0"/>
              <w:left w:val="single" w:color="auto" w:sz="4" w:space="0"/>
              <w:right w:val="single" w:color="auto" w:sz="4" w:space="0"/>
            </w:tcBorders>
            <w:vAlign w:val="center"/>
          </w:tcPr>
          <w:p>
            <w:pPr>
              <w:widowControl/>
              <w:spacing w:after="156" w:afterLines="50" w:line="480" w:lineRule="exact"/>
              <w:ind w:firstLine="880" w:firstLineChars="400"/>
              <w:jc w:val="left"/>
              <w:rPr>
                <w:rFonts w:ascii="宋体" w:hAnsi="宋体" w:cs="宋体"/>
                <w:color w:val="000000"/>
                <w:kern w:val="0"/>
                <w:sz w:val="22"/>
              </w:rPr>
            </w:pPr>
            <w:r>
              <w:rPr>
                <w:rFonts w:hint="eastAsia" w:ascii="宋体" w:hAnsi="宋体" w:cs="宋体"/>
                <w:color w:val="000000"/>
                <w:kern w:val="0"/>
                <w:sz w:val="22"/>
              </w:rPr>
              <w:t>照</w:t>
            </w:r>
          </w:p>
          <w:p>
            <w:pPr>
              <w:widowControl/>
              <w:spacing w:after="156" w:afterLines="50" w:line="480" w:lineRule="exact"/>
              <w:ind w:firstLine="880" w:firstLineChars="400"/>
              <w:jc w:val="left"/>
              <w:rPr>
                <w:rFonts w:ascii="宋体" w:hAnsi="宋体" w:cs="宋体"/>
                <w:color w:val="000000"/>
                <w:kern w:val="0"/>
                <w:sz w:val="22"/>
              </w:rPr>
            </w:pPr>
            <w:r>
              <w:rPr>
                <w:rFonts w:hint="eastAsia" w:ascii="宋体" w:hAnsi="宋体" w:cs="宋体"/>
                <w:color w:val="000000"/>
                <w:kern w:val="0"/>
                <w:sz w:val="22"/>
              </w:rPr>
              <w:t>片</w:t>
            </w:r>
          </w:p>
        </w:tc>
      </w:tr>
      <w:tr>
        <w:trPr>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身份证号码</w:t>
            </w:r>
          </w:p>
        </w:tc>
        <w:tc>
          <w:tcPr>
            <w:tcW w:w="1987" w:type="dxa"/>
            <w:gridSpan w:val="4"/>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1845" w:type="dxa"/>
            <w:gridSpan w:val="3"/>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毕业院校及时间</w:t>
            </w:r>
          </w:p>
          <w:p>
            <w:pPr>
              <w:rPr>
                <w:rFonts w:ascii="宋体" w:hAnsi="宋体" w:cs="宋体"/>
                <w:szCs w:val="21"/>
              </w:rPr>
            </w:pPr>
          </w:p>
        </w:tc>
        <w:tc>
          <w:tcPr>
            <w:tcW w:w="2834" w:type="dxa"/>
            <w:gridSpan w:val="5"/>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2127" w:type="dxa"/>
            <w:vMerge w:val="continue"/>
            <w:tcBorders>
              <w:left w:val="single" w:color="auto" w:sz="4" w:space="0"/>
              <w:right w:val="single" w:color="auto" w:sz="4" w:space="0"/>
            </w:tcBorders>
            <w:vAlign w:val="center"/>
          </w:tcPr>
          <w:p>
            <w:pPr>
              <w:spacing w:after="156" w:afterLines="50" w:line="480" w:lineRule="exact"/>
              <w:jc w:val="left"/>
              <w:rPr>
                <w:rFonts w:ascii="宋体" w:hAnsi="宋体" w:cs="宋体"/>
                <w:color w:val="000000"/>
                <w:kern w:val="0"/>
                <w:sz w:val="22"/>
              </w:rPr>
            </w:pPr>
          </w:p>
        </w:tc>
      </w:tr>
      <w:tr>
        <w:trPr>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专业</w:t>
            </w:r>
          </w:p>
        </w:tc>
        <w:tc>
          <w:tcPr>
            <w:tcW w:w="1273" w:type="dxa"/>
            <w:gridSpan w:val="3"/>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1279" w:type="dxa"/>
            <w:gridSpan w:val="2"/>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学历/学位</w:t>
            </w:r>
          </w:p>
        </w:tc>
        <w:tc>
          <w:tcPr>
            <w:tcW w:w="1134" w:type="dxa"/>
            <w:gridSpan w:val="2"/>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1134" w:type="dxa"/>
            <w:gridSpan w:val="3"/>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工作单位</w:t>
            </w:r>
          </w:p>
        </w:tc>
        <w:tc>
          <w:tcPr>
            <w:tcW w:w="2411" w:type="dxa"/>
            <w:gridSpan w:val="3"/>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2127" w:type="dxa"/>
            <w:vMerge w:val="continue"/>
            <w:tcBorders>
              <w:left w:val="single" w:color="auto" w:sz="4" w:space="0"/>
              <w:right w:val="single" w:color="auto" w:sz="4" w:space="0"/>
            </w:tcBorders>
            <w:vAlign w:val="center"/>
          </w:tcPr>
          <w:p>
            <w:pPr>
              <w:widowControl/>
              <w:spacing w:after="156" w:afterLines="50" w:line="480" w:lineRule="exact"/>
              <w:jc w:val="left"/>
              <w:rPr>
                <w:rFonts w:ascii="宋体" w:hAnsi="宋体" w:cs="宋体"/>
                <w:color w:val="000000"/>
                <w:kern w:val="0"/>
                <w:sz w:val="22"/>
              </w:rPr>
            </w:pPr>
          </w:p>
        </w:tc>
      </w:tr>
      <w:tr>
        <w:trPr>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联系电话</w:t>
            </w:r>
          </w:p>
        </w:tc>
        <w:tc>
          <w:tcPr>
            <w:tcW w:w="1278" w:type="dxa"/>
            <w:gridSpan w:val="3"/>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c>
          <w:tcPr>
            <w:tcW w:w="1419" w:type="dxa"/>
            <w:gridSpan w:val="2"/>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电子邮箱</w:t>
            </w:r>
          </w:p>
        </w:tc>
        <w:tc>
          <w:tcPr>
            <w:tcW w:w="3969" w:type="dxa"/>
            <w:gridSpan w:val="7"/>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 xml:space="preserve"> </w:t>
            </w:r>
          </w:p>
        </w:tc>
        <w:tc>
          <w:tcPr>
            <w:tcW w:w="2127" w:type="dxa"/>
            <w:vMerge w:val="continue"/>
            <w:tcBorders>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p>
        </w:tc>
      </w:tr>
      <w:tr>
        <w:trPr>
          <w:jc w:val="center"/>
        </w:trPr>
        <w:tc>
          <w:tcPr>
            <w:tcW w:w="1691" w:type="dxa"/>
            <w:gridSpan w:val="3"/>
            <w:tcBorders>
              <w:top w:val="single" w:color="auto" w:sz="4" w:space="0"/>
              <w:left w:val="single" w:color="auto" w:sz="4" w:space="0"/>
              <w:bottom w:val="single" w:color="auto" w:sz="4" w:space="0"/>
              <w:right w:val="single" w:color="auto" w:sz="4" w:space="0"/>
            </w:tcBorders>
            <w:vAlign w:val="center"/>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通讯地址及邮编</w:t>
            </w:r>
          </w:p>
        </w:tc>
        <w:tc>
          <w:tcPr>
            <w:tcW w:w="8369" w:type="dxa"/>
            <w:gridSpan w:val="12"/>
            <w:tcBorders>
              <w:top w:val="single" w:color="auto" w:sz="4" w:space="0"/>
              <w:left w:val="single" w:color="auto" w:sz="4" w:space="0"/>
              <w:bottom w:val="single" w:color="auto" w:sz="4" w:space="0"/>
              <w:right w:val="single" w:color="auto" w:sz="4" w:space="0"/>
            </w:tcBorders>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 xml:space="preserve"> </w:t>
            </w:r>
          </w:p>
        </w:tc>
      </w:tr>
      <w:tr>
        <w:trPr>
          <w:trHeight w:val="2022" w:hRule="atLeast"/>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afterLines="50" w:line="480" w:lineRule="exact"/>
              <w:jc w:val="left"/>
              <w:rPr>
                <w:rFonts w:ascii="宋体" w:hAnsi="宋体" w:cs="宋体"/>
                <w:color w:val="000000"/>
                <w:kern w:val="0"/>
                <w:szCs w:val="21"/>
              </w:rPr>
            </w:pPr>
            <w:r>
              <w:rPr>
                <w:rFonts w:hint="eastAsia" w:ascii="宋体" w:hAnsi="宋体" w:cs="宋体"/>
                <w:color w:val="000000"/>
                <w:kern w:val="0"/>
                <w:szCs w:val="21"/>
              </w:rPr>
              <w:t>执裁经历</w:t>
            </w:r>
          </w:p>
          <w:p>
            <w:pPr>
              <w:widowControl/>
              <w:spacing w:after="156" w:afterLines="50" w:line="480" w:lineRule="exact"/>
              <w:jc w:val="left"/>
              <w:rPr>
                <w:rFonts w:ascii="宋体" w:hAnsi="宋体" w:cs="宋体"/>
                <w:color w:val="000000"/>
                <w:kern w:val="0"/>
                <w:szCs w:val="21"/>
              </w:rPr>
            </w:pPr>
          </w:p>
          <w:p>
            <w:pPr>
              <w:widowControl/>
              <w:spacing w:after="156" w:afterLines="50" w:line="480" w:lineRule="exact"/>
              <w:jc w:val="left"/>
              <w:rPr>
                <w:rFonts w:ascii="宋体" w:hAnsi="宋体" w:cs="宋体"/>
                <w:color w:val="000000"/>
                <w:kern w:val="0"/>
                <w:szCs w:val="21"/>
              </w:rPr>
            </w:pPr>
          </w:p>
          <w:p>
            <w:pPr>
              <w:widowControl/>
              <w:spacing w:after="156" w:afterLines="50" w:line="480" w:lineRule="exact"/>
              <w:jc w:val="left"/>
              <w:rPr>
                <w:rFonts w:ascii="宋体" w:hAnsi="宋体" w:cs="宋体"/>
                <w:color w:val="000000"/>
                <w:kern w:val="0"/>
                <w:szCs w:val="21"/>
              </w:rPr>
            </w:pPr>
          </w:p>
          <w:p>
            <w:pPr>
              <w:widowControl/>
              <w:spacing w:after="156" w:afterLines="50" w:line="480" w:lineRule="exact"/>
              <w:jc w:val="left"/>
              <w:rPr>
                <w:rFonts w:ascii="宋体" w:hAnsi="宋体" w:cs="宋体"/>
                <w:color w:val="000000"/>
                <w:kern w:val="0"/>
                <w:szCs w:val="21"/>
              </w:rPr>
            </w:pPr>
          </w:p>
        </w:tc>
        <w:tc>
          <w:tcPr>
            <w:tcW w:w="8793" w:type="dxa"/>
            <w:gridSpan w:val="13"/>
            <w:tcBorders>
              <w:top w:val="single" w:color="auto" w:sz="4" w:space="0"/>
              <w:left w:val="single" w:color="auto" w:sz="4" w:space="0"/>
              <w:bottom w:val="single" w:color="auto" w:sz="4" w:space="0"/>
              <w:right w:val="single" w:color="auto" w:sz="4" w:space="0"/>
            </w:tcBorders>
          </w:tcPr>
          <w:p>
            <w:pPr>
              <w:widowControl/>
              <w:spacing w:after="156" w:afterLines="50" w:line="480" w:lineRule="exact"/>
              <w:jc w:val="center"/>
              <w:rPr>
                <w:rFonts w:ascii="宋体" w:hAnsi="宋体" w:cs="宋体"/>
                <w:color w:val="000000"/>
                <w:kern w:val="0"/>
                <w:szCs w:val="21"/>
              </w:rPr>
            </w:pPr>
          </w:p>
          <w:p>
            <w:pPr>
              <w:widowControl/>
              <w:spacing w:after="156" w:afterLines="50" w:line="4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9" w:hRule="atLeast"/>
          <w:jc w:val="center"/>
        </w:trPr>
        <w:tc>
          <w:tcPr>
            <w:tcW w:w="10060" w:type="dxa"/>
            <w:gridSpan w:val="15"/>
            <w:tcBorders>
              <w:top w:val="single" w:color="auto" w:sz="4" w:space="0"/>
              <w:left w:val="single" w:color="auto" w:sz="4" w:space="0"/>
              <w:bottom w:val="single" w:color="auto" w:sz="4" w:space="0"/>
              <w:right w:val="single" w:color="auto" w:sz="4" w:space="0"/>
            </w:tcBorders>
            <w:vAlign w:val="center"/>
          </w:tcPr>
          <w:p>
            <w:pPr>
              <w:widowControl/>
              <w:spacing w:after="156" w:afterLines="50" w:line="480" w:lineRule="exact"/>
              <w:jc w:val="left"/>
              <w:rPr>
                <w:rFonts w:ascii="宋体" w:hAnsi="宋体" w:cs="宋体"/>
                <w:color w:val="000000"/>
                <w:kern w:val="0"/>
                <w:szCs w:val="21"/>
              </w:rPr>
            </w:pPr>
            <w:r>
              <w:rPr>
                <w:rFonts w:hint="eastAsia" w:ascii="宋体" w:hAnsi="宋体" w:cs="宋体"/>
                <w:color w:val="000000"/>
                <w:kern w:val="0"/>
                <w:szCs w:val="21"/>
              </w:rPr>
              <w:t xml:space="preserve">     本人保证以上信息真实、准确，并愿意承担由于以上信息虚假带来的一切法律责任和后果。</w:t>
            </w:r>
          </w:p>
          <w:p>
            <w:pPr>
              <w:widowControl/>
              <w:spacing w:after="156" w:afterLines="50" w:line="480" w:lineRule="exact"/>
              <w:jc w:val="left"/>
              <w:rPr>
                <w:rFonts w:ascii="宋体" w:hAnsi="宋体" w:cs="宋体"/>
                <w:color w:val="000000"/>
                <w:kern w:val="0"/>
                <w:szCs w:val="21"/>
              </w:rPr>
            </w:pPr>
            <w:r>
              <w:rPr>
                <w:rFonts w:hint="eastAsia" w:ascii="宋体" w:hAnsi="宋体" w:cs="宋体"/>
                <w:color w:val="000000"/>
                <w:kern w:val="0"/>
                <w:szCs w:val="21"/>
              </w:rPr>
              <w:t xml:space="preserve">申请人签名： </w:t>
            </w:r>
            <w:r>
              <w:rPr>
                <w:rFonts w:ascii="宋体" w:hAnsi="宋体" w:cs="宋体"/>
                <w:color w:val="000000"/>
                <w:kern w:val="0"/>
                <w:szCs w:val="21"/>
              </w:rPr>
              <w:t xml:space="preserve">                                                     </w:t>
            </w:r>
            <w:r>
              <w:rPr>
                <w:rFonts w:hint="eastAsia" w:ascii="宋体" w:hAnsi="宋体" w:cs="宋体"/>
                <w:color w:val="000000"/>
                <w:kern w:val="0"/>
                <w:szCs w:val="21"/>
              </w:rPr>
              <w:t xml:space="preserve">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日</w:t>
            </w:r>
          </w:p>
        </w:tc>
      </w:tr>
      <w:tr>
        <w:trPr>
          <w:trHeight w:val="3613" w:hRule="atLeast"/>
          <w:jc w:val="center"/>
        </w:trPr>
        <w:tc>
          <w:tcPr>
            <w:tcW w:w="1267" w:type="dxa"/>
            <w:gridSpan w:val="2"/>
            <w:tcBorders>
              <w:top w:val="single" w:color="auto" w:sz="4" w:space="0"/>
              <w:left w:val="single" w:color="auto" w:sz="4" w:space="0"/>
              <w:bottom w:val="single" w:color="auto" w:sz="4" w:space="0"/>
              <w:right w:val="single" w:color="auto" w:sz="4" w:space="0"/>
            </w:tcBorders>
            <w:vAlign w:val="center"/>
          </w:tcPr>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裁判员所在单位意见</w:t>
            </w:r>
          </w:p>
        </w:tc>
        <w:tc>
          <w:tcPr>
            <w:tcW w:w="2698" w:type="dxa"/>
            <w:gridSpan w:val="5"/>
            <w:tcBorders>
              <w:top w:val="single" w:color="auto" w:sz="4" w:space="0"/>
              <w:left w:val="single" w:color="auto" w:sz="4" w:space="0"/>
              <w:bottom w:val="single" w:color="auto" w:sz="4" w:space="0"/>
              <w:right w:val="single" w:color="auto" w:sz="4" w:space="0"/>
            </w:tcBorders>
          </w:tcPr>
          <w:p>
            <w:pPr>
              <w:widowControl/>
              <w:tabs>
                <w:tab w:val="left" w:pos="789"/>
              </w:tabs>
              <w:spacing w:after="156" w:afterLines="50" w:line="480" w:lineRule="exact"/>
              <w:rPr>
                <w:rFonts w:ascii="宋体" w:hAnsi="宋体" w:cs="宋体"/>
                <w:color w:val="000000"/>
                <w:kern w:val="0"/>
                <w:szCs w:val="21"/>
              </w:rPr>
            </w:pPr>
            <w:r>
              <w:rPr>
                <w:rFonts w:ascii="宋体" w:hAnsi="宋体" w:cs="宋体"/>
                <w:color w:val="000000"/>
                <w:kern w:val="0"/>
                <w:szCs w:val="21"/>
              </w:rPr>
              <w:tab/>
            </w:r>
          </w:p>
          <w:p>
            <w:pPr>
              <w:widowControl/>
              <w:spacing w:after="156" w:afterLines="50" w:line="480" w:lineRule="exact"/>
              <w:rPr>
                <w:rFonts w:ascii="宋体" w:hAnsi="宋体" w:cs="宋体"/>
                <w:color w:val="000000"/>
                <w:kern w:val="0"/>
                <w:szCs w:val="21"/>
              </w:rPr>
            </w:pPr>
          </w:p>
          <w:p>
            <w:pPr>
              <w:widowControl/>
              <w:spacing w:after="156" w:afterLines="50" w:line="480" w:lineRule="exact"/>
              <w:rPr>
                <w:rFonts w:ascii="宋体" w:hAnsi="宋体" w:cs="宋体"/>
                <w:color w:val="000000"/>
                <w:kern w:val="0"/>
                <w:szCs w:val="21"/>
              </w:rPr>
            </w:pPr>
          </w:p>
          <w:p>
            <w:pPr>
              <w:widowControl/>
              <w:spacing w:after="156" w:afterLines="50" w:line="480" w:lineRule="exact"/>
              <w:rPr>
                <w:rFonts w:ascii="宋体" w:hAnsi="宋体" w:cs="宋体"/>
                <w:color w:val="000000"/>
                <w:kern w:val="0"/>
                <w:szCs w:val="21"/>
              </w:rPr>
            </w:pPr>
          </w:p>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经办人（签名盖章）：</w:t>
            </w:r>
          </w:p>
          <w:p>
            <w:pPr>
              <w:widowControl/>
              <w:spacing w:after="156" w:afterLines="50" w:line="480" w:lineRule="exact"/>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r>
              <w:rPr>
                <w:rFonts w:hint="eastAsia" w:ascii="宋体" w:hAnsi="宋体" w:cs="宋体"/>
                <w:color w:val="000000"/>
                <w:kern w:val="0"/>
                <w:szCs w:val="21"/>
              </w:rPr>
              <w:t xml:space="preserve">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日</w:t>
            </w:r>
          </w:p>
          <w:p>
            <w:pPr>
              <w:widowControl/>
              <w:spacing w:after="156" w:afterLines="50" w:line="480" w:lineRule="exact"/>
              <w:jc w:val="center"/>
              <w:rPr>
                <w:rFonts w:ascii="宋体" w:hAnsi="宋体" w:cs="宋体"/>
                <w:b/>
                <w:color w:val="000000"/>
                <w:kern w:val="0"/>
                <w:szCs w:val="21"/>
              </w:rPr>
            </w:pPr>
          </w:p>
        </w:tc>
        <w:tc>
          <w:tcPr>
            <w:tcW w:w="1415" w:type="dxa"/>
            <w:gridSpan w:val="3"/>
            <w:tcBorders>
              <w:top w:val="single" w:color="auto" w:sz="4" w:space="0"/>
              <w:left w:val="single" w:color="auto" w:sz="4" w:space="0"/>
              <w:bottom w:val="single" w:color="auto" w:sz="4" w:space="0"/>
              <w:right w:val="single" w:color="auto" w:sz="4" w:space="0"/>
            </w:tcBorders>
          </w:tcPr>
          <w:p>
            <w:pPr>
              <w:widowControl/>
              <w:spacing w:after="156" w:afterLines="50" w:line="480" w:lineRule="exact"/>
              <w:jc w:val="center"/>
              <w:rPr>
                <w:rFonts w:ascii="宋体" w:hAnsi="宋体" w:cs="宋体"/>
                <w:color w:val="000000"/>
                <w:kern w:val="0"/>
                <w:szCs w:val="21"/>
              </w:rPr>
            </w:pPr>
          </w:p>
          <w:p>
            <w:pPr>
              <w:widowControl/>
              <w:spacing w:after="156" w:afterLines="50" w:line="480" w:lineRule="exact"/>
              <w:jc w:val="center"/>
              <w:rPr>
                <w:rFonts w:ascii="宋体" w:hAnsi="宋体" w:cs="宋体"/>
                <w:color w:val="000000"/>
                <w:kern w:val="0"/>
                <w:szCs w:val="21"/>
              </w:rPr>
            </w:pPr>
          </w:p>
          <w:p>
            <w:pPr>
              <w:widowControl/>
              <w:spacing w:after="156" w:afterLines="50" w:line="480" w:lineRule="exact"/>
              <w:jc w:val="center"/>
              <w:rPr>
                <w:rFonts w:ascii="宋体" w:hAnsi="宋体" w:cs="宋体"/>
                <w:color w:val="000000"/>
                <w:kern w:val="0"/>
                <w:szCs w:val="21"/>
              </w:rPr>
            </w:pPr>
            <w:r>
              <w:rPr>
                <w:rFonts w:hint="eastAsia" w:ascii="宋体" w:hAnsi="宋体" w:cs="宋体"/>
                <w:color w:val="000000"/>
                <w:kern w:val="0"/>
                <w:szCs w:val="21"/>
              </w:rPr>
              <w:t>全国体育运动学校联合会意见</w:t>
            </w:r>
          </w:p>
          <w:p>
            <w:pPr>
              <w:widowControl/>
              <w:spacing w:after="156" w:afterLines="50" w:line="480" w:lineRule="exact"/>
              <w:jc w:val="center"/>
              <w:rPr>
                <w:rFonts w:ascii="宋体" w:hAnsi="宋体" w:cs="宋体"/>
                <w:b/>
                <w:color w:val="000000"/>
                <w:kern w:val="0"/>
                <w:szCs w:val="21"/>
              </w:rPr>
            </w:pPr>
          </w:p>
        </w:tc>
        <w:tc>
          <w:tcPr>
            <w:tcW w:w="4680" w:type="dxa"/>
            <w:gridSpan w:val="5"/>
            <w:tcBorders>
              <w:top w:val="single" w:color="auto" w:sz="4" w:space="0"/>
              <w:left w:val="single" w:color="auto" w:sz="4" w:space="0"/>
              <w:bottom w:val="single" w:color="auto" w:sz="4" w:space="0"/>
              <w:right w:val="single" w:color="auto" w:sz="4" w:space="0"/>
            </w:tcBorders>
          </w:tcPr>
          <w:p>
            <w:pPr>
              <w:widowControl/>
              <w:spacing w:after="156" w:afterLines="50" w:line="480" w:lineRule="exact"/>
              <w:jc w:val="center"/>
              <w:rPr>
                <w:rFonts w:ascii="宋体" w:hAnsi="宋体" w:cs="宋体"/>
                <w:color w:val="000000"/>
                <w:kern w:val="0"/>
                <w:szCs w:val="21"/>
              </w:rPr>
            </w:pPr>
            <w:r>
              <w:rPr>
                <w:rFonts w:hint="eastAsia" w:ascii="宋体" w:hAnsi="宋体" w:cs="宋体"/>
                <w:color w:val="000000"/>
                <w:kern w:val="0"/>
                <w:szCs w:val="21"/>
              </w:rPr>
              <w:t xml:space="preserve">                                       </w:t>
            </w:r>
            <w:r>
              <w:rPr>
                <w:rFonts w:ascii="宋体" w:hAnsi="宋体" w:cs="宋体"/>
                <w:color w:val="000000"/>
                <w:kern w:val="0"/>
                <w:szCs w:val="21"/>
              </w:rPr>
              <w:t xml:space="preserve">                        </w:t>
            </w:r>
          </w:p>
          <w:p>
            <w:pPr>
              <w:widowControl/>
              <w:spacing w:after="156" w:afterLines="50" w:line="480" w:lineRule="exact"/>
              <w:rPr>
                <w:rFonts w:ascii="宋体" w:hAnsi="宋体" w:cs="宋体"/>
                <w:bCs/>
                <w:color w:val="000000"/>
                <w:kern w:val="0"/>
                <w:szCs w:val="21"/>
              </w:rPr>
            </w:pPr>
          </w:p>
          <w:p>
            <w:pPr>
              <w:widowControl/>
              <w:spacing w:after="156" w:afterLines="50" w:line="480" w:lineRule="exact"/>
              <w:rPr>
                <w:rFonts w:ascii="宋体" w:hAnsi="宋体" w:cs="宋体"/>
                <w:bCs/>
                <w:color w:val="000000"/>
                <w:kern w:val="0"/>
                <w:szCs w:val="21"/>
              </w:rPr>
            </w:pPr>
          </w:p>
          <w:p>
            <w:pPr>
              <w:widowControl/>
              <w:spacing w:after="156" w:afterLines="50" w:line="480" w:lineRule="exact"/>
              <w:rPr>
                <w:rFonts w:ascii="宋体" w:hAnsi="宋体" w:cs="宋体"/>
                <w:bCs/>
                <w:color w:val="000000"/>
                <w:kern w:val="0"/>
                <w:szCs w:val="21"/>
              </w:rPr>
            </w:pPr>
          </w:p>
          <w:p>
            <w:pPr>
              <w:widowControl/>
              <w:spacing w:after="156" w:afterLines="50" w:line="480" w:lineRule="exact"/>
              <w:rPr>
                <w:rFonts w:ascii="宋体" w:hAnsi="宋体" w:cs="宋体"/>
                <w:bCs/>
                <w:color w:val="000000"/>
                <w:kern w:val="0"/>
                <w:szCs w:val="21"/>
              </w:rPr>
            </w:pPr>
            <w:r>
              <w:rPr>
                <w:rFonts w:hint="eastAsia" w:ascii="宋体" w:hAnsi="宋体" w:cs="宋体"/>
                <w:bCs/>
                <w:color w:val="000000"/>
                <w:kern w:val="0"/>
                <w:szCs w:val="21"/>
              </w:rPr>
              <w:t>签名盖章：</w:t>
            </w:r>
          </w:p>
          <w:p>
            <w:pPr>
              <w:widowControl/>
              <w:spacing w:after="156" w:afterLines="50" w:line="480" w:lineRule="exact"/>
              <w:rPr>
                <w:rFonts w:ascii="宋体" w:hAnsi="宋体" w:cs="宋体"/>
                <w:bCs/>
                <w:color w:val="000000"/>
                <w:kern w:val="0"/>
                <w:szCs w:val="21"/>
              </w:rPr>
            </w:pPr>
            <w:r>
              <w:rPr>
                <w:rFonts w:hint="eastAsia" w:ascii="宋体" w:hAnsi="宋体" w:cs="宋体"/>
                <w:bCs/>
                <w:color w:val="000000"/>
                <w:kern w:val="0"/>
                <w:szCs w:val="21"/>
              </w:rPr>
              <w:t xml:space="preserve"> </w:t>
            </w:r>
            <w:r>
              <w:rPr>
                <w:rFonts w:ascii="宋体" w:hAnsi="宋体" w:cs="宋体"/>
                <w:bCs/>
                <w:color w:val="000000"/>
                <w:kern w:val="0"/>
                <w:szCs w:val="21"/>
              </w:rPr>
              <w:t xml:space="preserve">                   </w:t>
            </w:r>
            <w:r>
              <w:rPr>
                <w:rFonts w:hint="eastAsia" w:ascii="宋体" w:hAnsi="宋体" w:cs="宋体"/>
                <w:bCs/>
                <w:color w:val="000000"/>
                <w:kern w:val="0"/>
                <w:szCs w:val="21"/>
              </w:rPr>
              <w:t xml:space="preserve">年 </w:t>
            </w:r>
            <w:r>
              <w:rPr>
                <w:rFonts w:ascii="宋体" w:hAnsi="宋体" w:cs="宋体"/>
                <w:bCs/>
                <w:color w:val="000000"/>
                <w:kern w:val="0"/>
                <w:szCs w:val="21"/>
              </w:rPr>
              <w:t xml:space="preserve">    </w:t>
            </w:r>
            <w:r>
              <w:rPr>
                <w:rFonts w:hint="eastAsia" w:ascii="宋体" w:hAnsi="宋体" w:cs="宋体"/>
                <w:bCs/>
                <w:color w:val="000000"/>
                <w:kern w:val="0"/>
                <w:szCs w:val="21"/>
              </w:rPr>
              <w:t xml:space="preserve">月 </w:t>
            </w:r>
            <w:r>
              <w:rPr>
                <w:rFonts w:ascii="宋体" w:hAnsi="宋体" w:cs="宋体"/>
                <w:bCs/>
                <w:color w:val="000000"/>
                <w:kern w:val="0"/>
                <w:szCs w:val="21"/>
              </w:rPr>
              <w:t xml:space="preserve">    </w:t>
            </w:r>
            <w:r>
              <w:rPr>
                <w:rFonts w:hint="eastAsia" w:ascii="宋体" w:hAnsi="宋体" w:cs="宋体"/>
                <w:bCs/>
                <w:color w:val="000000"/>
                <w:kern w:val="0"/>
                <w:szCs w:val="21"/>
              </w:rPr>
              <w:t>日</w:t>
            </w:r>
          </w:p>
        </w:tc>
      </w:tr>
    </w:tbl>
    <w:p>
      <w:pPr>
        <w:spacing w:line="276" w:lineRule="auto"/>
        <w:rPr>
          <w:rFonts w:asciiTheme="majorEastAsia" w:hAnsiTheme="majorEastAsia" w:eastAsiaTheme="majorEastAsia"/>
          <w:sz w:val="28"/>
          <w:szCs w:val="28"/>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60FFE"/>
    <w:multiLevelType w:val="multilevel"/>
    <w:tmpl w:val="0FA60FFE"/>
    <w:lvl w:ilvl="0" w:tentative="0">
      <w:start w:val="1"/>
      <w:numFmt w:val="japaneseCounting"/>
      <w:lvlText w:val="（%1）"/>
      <w:lvlJc w:val="left"/>
      <w:pPr>
        <w:ind w:left="1999" w:hanging="864"/>
      </w:pPr>
      <w:rPr>
        <w:rFonts w:hint="default"/>
        <w:lang w:val="en-US"/>
      </w:rPr>
    </w:lvl>
    <w:lvl w:ilvl="1" w:tentative="0">
      <w:start w:val="1"/>
      <w:numFmt w:val="japaneseCounting"/>
      <w:lvlText w:val="（%2）"/>
      <w:lvlJc w:val="left"/>
      <w:pPr>
        <w:ind w:left="2428" w:hanging="864"/>
      </w:pPr>
      <w:rPr>
        <w:rFonts w:hint="default"/>
      </w:rPr>
    </w:lvl>
    <w:lvl w:ilvl="2" w:tentative="0">
      <w:start w:val="1"/>
      <w:numFmt w:val="lowerRoman"/>
      <w:lvlText w:val="%3."/>
      <w:lvlJc w:val="right"/>
      <w:pPr>
        <w:ind w:left="2404" w:hanging="420"/>
      </w:pPr>
    </w:lvl>
    <w:lvl w:ilvl="3" w:tentative="0">
      <w:start w:val="1"/>
      <w:numFmt w:val="decimal"/>
      <w:lvlText w:val="%4."/>
      <w:lvlJc w:val="left"/>
      <w:pPr>
        <w:ind w:left="2824" w:hanging="420"/>
      </w:pPr>
    </w:lvl>
    <w:lvl w:ilvl="4" w:tentative="0">
      <w:start w:val="1"/>
      <w:numFmt w:val="lowerLetter"/>
      <w:lvlText w:val="%5)"/>
      <w:lvlJc w:val="left"/>
      <w:pPr>
        <w:ind w:left="3244" w:hanging="420"/>
      </w:pPr>
    </w:lvl>
    <w:lvl w:ilvl="5" w:tentative="0">
      <w:start w:val="1"/>
      <w:numFmt w:val="lowerRoman"/>
      <w:lvlText w:val="%6."/>
      <w:lvlJc w:val="right"/>
      <w:pPr>
        <w:ind w:left="3664" w:hanging="420"/>
      </w:pPr>
    </w:lvl>
    <w:lvl w:ilvl="6" w:tentative="0">
      <w:start w:val="1"/>
      <w:numFmt w:val="decimal"/>
      <w:lvlText w:val="%7."/>
      <w:lvlJc w:val="left"/>
      <w:pPr>
        <w:ind w:left="4084" w:hanging="420"/>
      </w:pPr>
    </w:lvl>
    <w:lvl w:ilvl="7" w:tentative="0">
      <w:start w:val="1"/>
      <w:numFmt w:val="lowerLetter"/>
      <w:lvlText w:val="%8)"/>
      <w:lvlJc w:val="left"/>
      <w:pPr>
        <w:ind w:left="4504" w:hanging="420"/>
      </w:pPr>
    </w:lvl>
    <w:lvl w:ilvl="8" w:tentative="0">
      <w:start w:val="1"/>
      <w:numFmt w:val="lowerRoman"/>
      <w:lvlText w:val="%9."/>
      <w:lvlJc w:val="right"/>
      <w:pPr>
        <w:ind w:left="4924" w:hanging="420"/>
      </w:pPr>
    </w:lvl>
  </w:abstractNum>
  <w:abstractNum w:abstractNumId="1">
    <w:nsid w:val="2C6E3651"/>
    <w:multiLevelType w:val="multilevel"/>
    <w:tmpl w:val="2C6E3651"/>
    <w:lvl w:ilvl="0" w:tentative="0">
      <w:start w:val="1"/>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8C4033C"/>
    <w:multiLevelType w:val="multilevel"/>
    <w:tmpl w:val="38C4033C"/>
    <w:lvl w:ilvl="0" w:tentative="0">
      <w:start w:val="1"/>
      <w:numFmt w:val="japaneseCounting"/>
      <w:lvlText w:val="第%1章"/>
      <w:lvlJc w:val="left"/>
      <w:pPr>
        <w:ind w:left="4946" w:hanging="1260"/>
      </w:pPr>
      <w:rPr>
        <w:rFonts w:hint="default"/>
      </w:rPr>
    </w:lvl>
    <w:lvl w:ilvl="1" w:tentative="0">
      <w:start w:val="1"/>
      <w:numFmt w:val="lowerLetter"/>
      <w:lvlText w:val="%2)"/>
      <w:lvlJc w:val="left"/>
      <w:pPr>
        <w:ind w:left="4526" w:hanging="420"/>
      </w:pPr>
    </w:lvl>
    <w:lvl w:ilvl="2" w:tentative="0">
      <w:start w:val="1"/>
      <w:numFmt w:val="lowerRoman"/>
      <w:lvlText w:val="%3."/>
      <w:lvlJc w:val="right"/>
      <w:pPr>
        <w:ind w:left="4946" w:hanging="420"/>
      </w:pPr>
    </w:lvl>
    <w:lvl w:ilvl="3" w:tentative="0">
      <w:start w:val="1"/>
      <w:numFmt w:val="decimal"/>
      <w:lvlText w:val="%4."/>
      <w:lvlJc w:val="left"/>
      <w:pPr>
        <w:ind w:left="5366" w:hanging="420"/>
      </w:pPr>
    </w:lvl>
    <w:lvl w:ilvl="4" w:tentative="0">
      <w:start w:val="1"/>
      <w:numFmt w:val="lowerLetter"/>
      <w:lvlText w:val="%5)"/>
      <w:lvlJc w:val="left"/>
      <w:pPr>
        <w:ind w:left="5786" w:hanging="420"/>
      </w:pPr>
    </w:lvl>
    <w:lvl w:ilvl="5" w:tentative="0">
      <w:start w:val="1"/>
      <w:numFmt w:val="lowerRoman"/>
      <w:lvlText w:val="%6."/>
      <w:lvlJc w:val="right"/>
      <w:pPr>
        <w:ind w:left="6206" w:hanging="420"/>
      </w:pPr>
    </w:lvl>
    <w:lvl w:ilvl="6" w:tentative="0">
      <w:start w:val="1"/>
      <w:numFmt w:val="decimal"/>
      <w:lvlText w:val="%7."/>
      <w:lvlJc w:val="left"/>
      <w:pPr>
        <w:ind w:left="6626" w:hanging="420"/>
      </w:pPr>
    </w:lvl>
    <w:lvl w:ilvl="7" w:tentative="0">
      <w:start w:val="1"/>
      <w:numFmt w:val="lowerLetter"/>
      <w:lvlText w:val="%8)"/>
      <w:lvlJc w:val="left"/>
      <w:pPr>
        <w:ind w:left="7046" w:hanging="420"/>
      </w:pPr>
    </w:lvl>
    <w:lvl w:ilvl="8" w:tentative="0">
      <w:start w:val="1"/>
      <w:numFmt w:val="lowerRoman"/>
      <w:lvlText w:val="%9."/>
      <w:lvlJc w:val="right"/>
      <w:pPr>
        <w:ind w:left="7466" w:hanging="420"/>
      </w:pPr>
    </w:lvl>
  </w:abstractNum>
  <w:abstractNum w:abstractNumId="3">
    <w:nsid w:val="5A6062D1"/>
    <w:multiLevelType w:val="multilevel"/>
    <w:tmpl w:val="5A6062D1"/>
    <w:lvl w:ilvl="0" w:tentative="0">
      <w:start w:val="1"/>
      <w:numFmt w:val="japaneseCounting"/>
      <w:lvlText w:val="（%1）"/>
      <w:lvlJc w:val="left"/>
      <w:pPr>
        <w:ind w:left="1144" w:hanging="720"/>
      </w:pPr>
      <w:rPr>
        <w:rFonts w:hint="default"/>
        <w:lang w:val="en-US"/>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4">
    <w:nsid w:val="6FDC12C0"/>
    <w:multiLevelType w:val="multilevel"/>
    <w:tmpl w:val="6FDC12C0"/>
    <w:lvl w:ilvl="0" w:tentative="0">
      <w:start w:val="1"/>
      <w:numFmt w:val="japaneseCounting"/>
      <w:lvlText w:val="（%1）"/>
      <w:lvlJc w:val="left"/>
      <w:pPr>
        <w:ind w:left="1144" w:hanging="72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751617FA"/>
    <w:multiLevelType w:val="multilevel"/>
    <w:tmpl w:val="751617FA"/>
    <w:lvl w:ilvl="0" w:tentative="0">
      <w:start w:val="1"/>
      <w:numFmt w:val="japaneseCounting"/>
      <w:lvlText w:val="（%1）"/>
      <w:lvlJc w:val="left"/>
      <w:pPr>
        <w:ind w:left="1287" w:hanging="720"/>
      </w:pPr>
      <w:rPr>
        <w:rFonts w:hint="default"/>
      </w:rPr>
    </w:lvl>
    <w:lvl w:ilvl="1" w:tentative="0">
      <w:start w:val="1"/>
      <w:numFmt w:val="japaneseCounting"/>
      <w:lvlText w:val="（%2）"/>
      <w:lvlJc w:val="left"/>
      <w:pPr>
        <w:ind w:left="1851" w:hanging="864"/>
      </w:pPr>
      <w:rPr>
        <w:rFonts w:hint="default"/>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yZjkwYjBlZTYwN2M0YWIyMDQ2ZGE5ZDRlMGYyMDEifQ=="/>
  </w:docVars>
  <w:rsids>
    <w:rsidRoot w:val="00CC7A54"/>
    <w:rsid w:val="00011F5A"/>
    <w:rsid w:val="00051911"/>
    <w:rsid w:val="00110A69"/>
    <w:rsid w:val="00145129"/>
    <w:rsid w:val="00154CE9"/>
    <w:rsid w:val="001736E0"/>
    <w:rsid w:val="00183505"/>
    <w:rsid w:val="00183C0C"/>
    <w:rsid w:val="0019544E"/>
    <w:rsid w:val="001B13A9"/>
    <w:rsid w:val="001D18B1"/>
    <w:rsid w:val="001D31E8"/>
    <w:rsid w:val="00210C28"/>
    <w:rsid w:val="002348E6"/>
    <w:rsid w:val="002424DB"/>
    <w:rsid w:val="00254989"/>
    <w:rsid w:val="002B3941"/>
    <w:rsid w:val="002B59D6"/>
    <w:rsid w:val="002B6500"/>
    <w:rsid w:val="002C289F"/>
    <w:rsid w:val="002C46F4"/>
    <w:rsid w:val="002D1FFB"/>
    <w:rsid w:val="002D6801"/>
    <w:rsid w:val="002F721B"/>
    <w:rsid w:val="0032465D"/>
    <w:rsid w:val="003366C7"/>
    <w:rsid w:val="00342CE3"/>
    <w:rsid w:val="003703B6"/>
    <w:rsid w:val="00387AD4"/>
    <w:rsid w:val="00387DC2"/>
    <w:rsid w:val="00392901"/>
    <w:rsid w:val="00393472"/>
    <w:rsid w:val="003D25D8"/>
    <w:rsid w:val="003F36F6"/>
    <w:rsid w:val="003F662E"/>
    <w:rsid w:val="00402CFC"/>
    <w:rsid w:val="00456A26"/>
    <w:rsid w:val="00461A76"/>
    <w:rsid w:val="004A23AA"/>
    <w:rsid w:val="004B3DA6"/>
    <w:rsid w:val="004E43FD"/>
    <w:rsid w:val="004E5412"/>
    <w:rsid w:val="00505A9D"/>
    <w:rsid w:val="00507143"/>
    <w:rsid w:val="00531D2D"/>
    <w:rsid w:val="005878E9"/>
    <w:rsid w:val="005B005A"/>
    <w:rsid w:val="005B5AB4"/>
    <w:rsid w:val="005C4E56"/>
    <w:rsid w:val="005D70A3"/>
    <w:rsid w:val="005E6A88"/>
    <w:rsid w:val="00605889"/>
    <w:rsid w:val="00621200"/>
    <w:rsid w:val="00635415"/>
    <w:rsid w:val="0063677D"/>
    <w:rsid w:val="00651703"/>
    <w:rsid w:val="00676007"/>
    <w:rsid w:val="00687C12"/>
    <w:rsid w:val="006D45FB"/>
    <w:rsid w:val="006F39DC"/>
    <w:rsid w:val="00720DCE"/>
    <w:rsid w:val="007219B8"/>
    <w:rsid w:val="00790A9A"/>
    <w:rsid w:val="007D6B0A"/>
    <w:rsid w:val="007E7741"/>
    <w:rsid w:val="007F2A50"/>
    <w:rsid w:val="008019B0"/>
    <w:rsid w:val="00807DFC"/>
    <w:rsid w:val="00814781"/>
    <w:rsid w:val="008165E1"/>
    <w:rsid w:val="00825CF9"/>
    <w:rsid w:val="008748AE"/>
    <w:rsid w:val="008A30E1"/>
    <w:rsid w:val="008A328F"/>
    <w:rsid w:val="008E60A1"/>
    <w:rsid w:val="008F2141"/>
    <w:rsid w:val="0092751B"/>
    <w:rsid w:val="0094045D"/>
    <w:rsid w:val="00950CFD"/>
    <w:rsid w:val="00981674"/>
    <w:rsid w:val="009C58AF"/>
    <w:rsid w:val="009F758D"/>
    <w:rsid w:val="00A05552"/>
    <w:rsid w:val="00A10F4F"/>
    <w:rsid w:val="00A30A4D"/>
    <w:rsid w:val="00A44625"/>
    <w:rsid w:val="00A7698F"/>
    <w:rsid w:val="00AC508A"/>
    <w:rsid w:val="00AC553C"/>
    <w:rsid w:val="00AC59FB"/>
    <w:rsid w:val="00AD22AE"/>
    <w:rsid w:val="00AF14D1"/>
    <w:rsid w:val="00B37400"/>
    <w:rsid w:val="00B86EE4"/>
    <w:rsid w:val="00BA4499"/>
    <w:rsid w:val="00BB2A7A"/>
    <w:rsid w:val="00BF413D"/>
    <w:rsid w:val="00BF5145"/>
    <w:rsid w:val="00C6762D"/>
    <w:rsid w:val="00C709D2"/>
    <w:rsid w:val="00C76811"/>
    <w:rsid w:val="00C834B2"/>
    <w:rsid w:val="00C96C54"/>
    <w:rsid w:val="00CA1EDF"/>
    <w:rsid w:val="00CC7A54"/>
    <w:rsid w:val="00CF28C1"/>
    <w:rsid w:val="00CF4B12"/>
    <w:rsid w:val="00D056FF"/>
    <w:rsid w:val="00D074D8"/>
    <w:rsid w:val="00D33BEB"/>
    <w:rsid w:val="00D510AE"/>
    <w:rsid w:val="00D56476"/>
    <w:rsid w:val="00DA1361"/>
    <w:rsid w:val="00DB6C6A"/>
    <w:rsid w:val="00DC3E5A"/>
    <w:rsid w:val="00DD0462"/>
    <w:rsid w:val="00E1049D"/>
    <w:rsid w:val="00E203FB"/>
    <w:rsid w:val="00E371D3"/>
    <w:rsid w:val="00E4336B"/>
    <w:rsid w:val="00E53BD7"/>
    <w:rsid w:val="00E76DCD"/>
    <w:rsid w:val="00ED40AB"/>
    <w:rsid w:val="00EE71B0"/>
    <w:rsid w:val="00F047DE"/>
    <w:rsid w:val="00F15F9B"/>
    <w:rsid w:val="00F2749B"/>
    <w:rsid w:val="00F34180"/>
    <w:rsid w:val="00F543A9"/>
    <w:rsid w:val="00F54B4B"/>
    <w:rsid w:val="00F727A0"/>
    <w:rsid w:val="00F91314"/>
    <w:rsid w:val="00FC0AD6"/>
    <w:rsid w:val="00FD5A92"/>
    <w:rsid w:val="0C2A40D9"/>
    <w:rsid w:val="0F597157"/>
    <w:rsid w:val="11AA3420"/>
    <w:rsid w:val="234B4A63"/>
    <w:rsid w:val="2C5769AD"/>
    <w:rsid w:val="2DDB73E1"/>
    <w:rsid w:val="313046BD"/>
    <w:rsid w:val="34FC6E5F"/>
    <w:rsid w:val="387F0FF2"/>
    <w:rsid w:val="38A26119"/>
    <w:rsid w:val="5D9616FA"/>
    <w:rsid w:val="605D6BA5"/>
    <w:rsid w:val="63AA6C19"/>
    <w:rsid w:val="681D012F"/>
    <w:rsid w:val="6A4440FA"/>
    <w:rsid w:val="6AC67AF8"/>
    <w:rsid w:val="CFFD0D14"/>
    <w:rsid w:val="D5EEEE9E"/>
    <w:rsid w:val="FFB72CB6"/>
    <w:rsid w:val="FFEDF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Date"/>
    <w:basedOn w:val="1"/>
    <w:next w:val="1"/>
    <w:link w:val="9"/>
    <w:semiHidden/>
    <w:unhideWhenUsed/>
    <w:qFormat/>
    <w:uiPriority w:val="99"/>
    <w:pPr>
      <w:ind w:left="100" w:leftChars="2500"/>
    </w:pPr>
  </w:style>
  <w:style w:type="paragraph" w:styleId="4">
    <w:name w:val="annotation subject"/>
    <w:basedOn w:val="2"/>
    <w:next w:val="2"/>
    <w:link w:val="12"/>
    <w:semiHidden/>
    <w:unhideWhenUsed/>
    <w:qFormat/>
    <w:uiPriority w:val="99"/>
    <w:rPr>
      <w:b/>
      <w:bCs/>
    </w:rPr>
  </w:style>
  <w:style w:type="character" w:styleId="7">
    <w:name w:val="Emphasis"/>
    <w:basedOn w:val="6"/>
    <w:qFormat/>
    <w:uiPriority w:val="0"/>
    <w:rPr>
      <w:i/>
    </w:rPr>
  </w:style>
  <w:style w:type="character" w:styleId="8">
    <w:name w:val="annotation reference"/>
    <w:basedOn w:val="6"/>
    <w:semiHidden/>
    <w:unhideWhenUsed/>
    <w:qFormat/>
    <w:uiPriority w:val="99"/>
    <w:rPr>
      <w:sz w:val="21"/>
      <w:szCs w:val="21"/>
    </w:rPr>
  </w:style>
  <w:style w:type="character" w:customStyle="1" w:styleId="9">
    <w:name w:val="日期 字符"/>
    <w:basedOn w:val="6"/>
    <w:link w:val="3"/>
    <w:semiHidden/>
    <w:qFormat/>
    <w:uiPriority w:val="99"/>
    <w:rPr>
      <w:rFonts w:ascii="Calibri" w:hAnsi="Calibri" w:cs="Arial"/>
      <w:kern w:val="2"/>
      <w:sz w:val="21"/>
      <w:szCs w:val="22"/>
    </w:rPr>
  </w:style>
  <w:style w:type="paragraph" w:styleId="10">
    <w:name w:val="List Paragraph"/>
    <w:basedOn w:val="1"/>
    <w:qFormat/>
    <w:uiPriority w:val="99"/>
    <w:pPr>
      <w:ind w:firstLine="420" w:firstLineChars="200"/>
    </w:pPr>
  </w:style>
  <w:style w:type="character" w:customStyle="1" w:styleId="11">
    <w:name w:val="批注文字 字符"/>
    <w:basedOn w:val="6"/>
    <w:link w:val="2"/>
    <w:semiHidden/>
    <w:qFormat/>
    <w:uiPriority w:val="99"/>
    <w:rPr>
      <w:rFonts w:ascii="Calibri" w:hAnsi="Calibri" w:cs="Arial"/>
      <w:kern w:val="2"/>
      <w:sz w:val="21"/>
      <w:szCs w:val="22"/>
    </w:rPr>
  </w:style>
  <w:style w:type="character" w:customStyle="1" w:styleId="12">
    <w:name w:val="批注主题 字符"/>
    <w:basedOn w:val="11"/>
    <w:link w:val="4"/>
    <w:semiHidden/>
    <w:qFormat/>
    <w:uiPriority w:val="99"/>
    <w:rPr>
      <w:rFonts w:ascii="Calibri" w:hAnsi="Calibri" w:cs="Arial"/>
      <w:b/>
      <w:bCs/>
      <w:kern w:val="2"/>
      <w:sz w:val="21"/>
      <w:szCs w:val="22"/>
    </w:rPr>
  </w:style>
  <w:style w:type="paragraph" w:customStyle="1" w:styleId="13">
    <w:name w:val="Revision"/>
    <w:hidden/>
    <w:semiHidden/>
    <w:qFormat/>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406</Words>
  <Characters>2318</Characters>
  <Lines>19</Lines>
  <Paragraphs>5</Paragraphs>
  <TotalTime>1</TotalTime>
  <ScaleCrop>false</ScaleCrop>
  <LinksUpToDate>false</LinksUpToDate>
  <CharactersWithSpaces>2719</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2022-12-13T12:51:00Z</dcterms:created>
  <dc:creator>EML-AL00</dc:creator>
  <cp:lastModifiedBy>圣斌Adam</cp:lastModifiedBy>
  <cp:lastPrinted>2022-09-29T19:50:00Z</cp:lastPrinted>
  <dcterms:modified xsi:type="dcterms:W3CDTF">2022-12-28T16:31:59Z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FC9EE5A479B94587B866905071F2597D</vt:lpwstr>
  </property>
  <property fmtid="{D5CDD505-2E9C-101B-9397-08002B2CF9AE}" pid="3" name="KSOProductBuildVer">
    <vt:lpwstr>2052-4.6.1.7467</vt:lpwstr>
  </property>
</Properties>
</file>